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5" Type="http://schemas.microsoft.com/office/2007/relationships/ui/extensibility" Target="customUI/customUI14.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8D32D5">
      <w:pPr>
        <w:pStyle w:val="16"/>
        <w:spacing w:line="580" w:lineRule="exact"/>
        <w:ind w:left="0" w:leftChars="0" w:firstLine="0" w:firstLineChars="0"/>
        <w:rPr>
          <w:rFonts w:ascii="黑体" w:hAnsi="黑体" w:eastAsia="黑体"/>
          <w:b/>
          <w:sz w:val="32"/>
          <w:szCs w:val="32"/>
        </w:rPr>
      </w:pPr>
      <w:r>
        <w:rPr>
          <w:rStyle w:val="20"/>
          <w:rFonts w:hint="eastAsia" w:ascii="黑体" w:hAnsi="黑体" w:eastAsia="黑体"/>
          <w:b w:val="0"/>
          <w:sz w:val="32"/>
          <w:szCs w:val="32"/>
        </w:rPr>
        <w:t>附件1</w:t>
      </w:r>
    </w:p>
    <w:p w14:paraId="32B202C4">
      <w:pPr>
        <w:pStyle w:val="16"/>
        <w:spacing w:line="580" w:lineRule="exact"/>
        <w:jc w:val="center"/>
        <w:rPr>
          <w:rFonts w:ascii="方正小标宋简体" w:eastAsia="方正小标宋简体"/>
          <w:sz w:val="44"/>
          <w:szCs w:val="44"/>
        </w:rPr>
      </w:pPr>
      <w:r>
        <w:rPr>
          <w:rFonts w:hint="eastAsia" w:ascii="方正小标宋简体" w:eastAsia="方正小标宋简体"/>
          <w:sz w:val="44"/>
          <w:szCs w:val="44"/>
        </w:rPr>
        <w:t>比选事项说明</w:t>
      </w:r>
    </w:p>
    <w:p w14:paraId="023192D9">
      <w:pPr>
        <w:pStyle w:val="16"/>
        <w:spacing w:line="580" w:lineRule="exact"/>
        <w:jc w:val="center"/>
        <w:rPr>
          <w:rFonts w:ascii="方正小标宋简体" w:eastAsia="方正小标宋简体"/>
          <w:sz w:val="44"/>
          <w:szCs w:val="44"/>
        </w:rPr>
      </w:pPr>
    </w:p>
    <w:p w14:paraId="7411D74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ascii="黑体" w:hAnsi="黑体" w:eastAsia="黑体"/>
          <w:b w:val="0"/>
          <w:sz w:val="32"/>
          <w:szCs w:val="32"/>
        </w:rPr>
        <w:t>一、比选目的</w:t>
      </w:r>
    </w:p>
    <w:p w14:paraId="7B90390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通过比选聘用武汉高科国有控股集团有限公司非公开发行公司债券项目主承销商。</w:t>
      </w:r>
    </w:p>
    <w:p w14:paraId="66318A9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ascii="黑体" w:hAnsi="黑体" w:eastAsia="黑体"/>
          <w:b w:val="0"/>
          <w:sz w:val="32"/>
          <w:szCs w:val="32"/>
        </w:rPr>
        <w:t>二、工作任务</w:t>
      </w:r>
    </w:p>
    <w:p w14:paraId="16FAC2CC">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评选出的主承销商能够胜任债券发行的承销工作，并受武汉高科国有控股集团有限公司委托负责推荐并协调审计、评级、律所等机构完成债券的注册、发行、登记托管等工作，且能确保债券成功发行。</w:t>
      </w:r>
    </w:p>
    <w:p w14:paraId="64779E49">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ascii="黑体" w:hAnsi="黑体" w:eastAsia="黑体"/>
          <w:b w:val="0"/>
          <w:sz w:val="32"/>
          <w:szCs w:val="32"/>
        </w:rPr>
        <w:t>三、法律依据</w:t>
      </w:r>
    </w:p>
    <w:p w14:paraId="038C31C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比选方案中相关名词的含义依据《公司法》、《证券法》及其他相关法律、法规和规范性文件。</w:t>
      </w:r>
    </w:p>
    <w:p w14:paraId="347CB427">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ascii="黑体" w:hAnsi="黑体" w:eastAsia="黑体"/>
          <w:b w:val="0"/>
          <w:sz w:val="32"/>
          <w:szCs w:val="32"/>
        </w:rPr>
        <w:t>四、参与机构代表</w:t>
      </w:r>
    </w:p>
    <w:p w14:paraId="238F5EFE">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指全权代表参与机构参加比选活动并签署相关文件的人。</w:t>
      </w:r>
    </w:p>
    <w:p w14:paraId="0A208A95">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ascii="黑体" w:hAnsi="黑体" w:eastAsia="黑体"/>
          <w:b w:val="0"/>
          <w:sz w:val="32"/>
          <w:szCs w:val="32"/>
        </w:rPr>
        <w:t>五、比选方案的修改</w:t>
      </w:r>
    </w:p>
    <w:p w14:paraId="5B88B838">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在接收比选文件截止日期之前的任何时候，无论出于何种原因，武汉高科国有控股集团有限公司可主动地对比选方案进行修改。比选方案的修改将以书面形式（包括信函、传真）通知所有参与机构，并对其具有约束力。参与机构收到上述通知后，应及时向武汉高科国有控股集团有限公司回函确认。为使参与机构有充分时间对比选文件的修改部分进行研究，武汉高科国有控股集团有限公司可以根据比选工作需要自行决定是否推迟比选文件接收的截止日期。</w:t>
      </w:r>
    </w:p>
    <w:p w14:paraId="7578E54A">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ascii="黑体" w:hAnsi="黑体" w:eastAsia="黑体"/>
          <w:b w:val="0"/>
          <w:sz w:val="32"/>
          <w:szCs w:val="32"/>
        </w:rPr>
        <w:t>六、比选文件的修改</w:t>
      </w:r>
    </w:p>
    <w:p w14:paraId="77613A1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参与机构在递交比选文件后可对比选文件进行修改，但须确保武汉高科国有控股集团有限公司可在比选文件接收的截止日期前收到该修改后的比选文件。若比选文件有修改，须由签署比选文件的人签字，否则比选文件中不许有加行、涂抹成改写。</w:t>
      </w:r>
    </w:p>
    <w:p w14:paraId="767AE628">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ascii="黑体" w:hAnsi="黑体" w:eastAsia="黑体"/>
          <w:b w:val="0"/>
          <w:sz w:val="32"/>
          <w:szCs w:val="32"/>
        </w:rPr>
        <w:t>七、比选文件的撒销</w:t>
      </w:r>
    </w:p>
    <w:p w14:paraId="272D66A8">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参与机构可将递交的比选文件在接收截止日期前撤回，但在比选文件接收截止日期后撤回的即代表放弃参与比选。</w:t>
      </w:r>
    </w:p>
    <w:p w14:paraId="7E8F4636">
      <w:pPr>
        <w:pStyle w:val="16"/>
        <w:spacing w:line="580" w:lineRule="exact"/>
        <w:rPr>
          <w:rStyle w:val="20"/>
          <w:sz w:val="32"/>
          <w:szCs w:val="32"/>
        </w:rPr>
        <w:sectPr>
          <w:pgSz w:w="11906" w:h="16838"/>
          <w:pgMar w:top="1440" w:right="1800" w:bottom="1440" w:left="1800" w:header="851" w:footer="992" w:gutter="0"/>
          <w:cols w:space="425" w:num="1"/>
          <w:docGrid w:type="lines" w:linePitch="312" w:charSpace="0"/>
        </w:sectPr>
      </w:pPr>
    </w:p>
    <w:p w14:paraId="10350EE3">
      <w:pPr>
        <w:pStyle w:val="16"/>
        <w:spacing w:line="580" w:lineRule="exact"/>
        <w:ind w:left="0" w:leftChars="0" w:firstLine="0" w:firstLineChars="0"/>
        <w:rPr>
          <w:rStyle w:val="20"/>
          <w:rFonts w:ascii="黑体" w:hAnsi="黑体" w:eastAsia="黑体"/>
          <w:b w:val="0"/>
          <w:sz w:val="32"/>
          <w:szCs w:val="32"/>
        </w:rPr>
      </w:pPr>
      <w:r>
        <w:rPr>
          <w:rStyle w:val="20"/>
          <w:rFonts w:hint="eastAsia" w:ascii="黑体" w:hAnsi="黑体" w:eastAsia="黑体"/>
          <w:b w:val="0"/>
          <w:sz w:val="32"/>
          <w:szCs w:val="32"/>
        </w:rPr>
        <w:t>附件2</w:t>
      </w:r>
    </w:p>
    <w:p w14:paraId="328693A8">
      <w:pPr>
        <w:pStyle w:val="16"/>
        <w:spacing w:line="580" w:lineRule="exact"/>
        <w:jc w:val="center"/>
        <w:rPr>
          <w:rFonts w:ascii="方正小标宋简体" w:eastAsia="方正小标宋简体"/>
          <w:sz w:val="44"/>
          <w:szCs w:val="44"/>
        </w:rPr>
      </w:pPr>
      <w:r>
        <w:rPr>
          <w:rFonts w:hint="eastAsia" w:ascii="方正小标宋简体" w:eastAsia="方正小标宋简体"/>
          <w:sz w:val="44"/>
          <w:szCs w:val="44"/>
        </w:rPr>
        <w:t>比选工作流程</w:t>
      </w:r>
    </w:p>
    <w:p w14:paraId="70048873">
      <w:pPr>
        <w:pStyle w:val="16"/>
        <w:spacing w:line="580" w:lineRule="exact"/>
        <w:jc w:val="center"/>
        <w:rPr>
          <w:rFonts w:ascii="方正小标宋简体" w:eastAsia="方正小标宋简体"/>
          <w:sz w:val="44"/>
          <w:szCs w:val="44"/>
        </w:rPr>
      </w:pPr>
    </w:p>
    <w:p w14:paraId="3B870C6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Fonts w:ascii="黑体" w:hAnsi="黑体" w:eastAsia="黑体"/>
          <w:sz w:val="32"/>
          <w:szCs w:val="32"/>
        </w:rPr>
      </w:pPr>
      <w:r>
        <w:rPr>
          <w:rFonts w:hint="eastAsia" w:ascii="黑体" w:hAnsi="黑体" w:eastAsia="黑体"/>
          <w:sz w:val="32"/>
          <w:szCs w:val="32"/>
        </w:rPr>
        <w:t>一、比选公告</w:t>
      </w:r>
    </w:p>
    <w:p w14:paraId="768D0597">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武汉高科国有控股集团有限公司采用公告方式发布比选方案，符合条件的金融机构可按公告要求参加本次非公开发行公司债券的比选。</w:t>
      </w:r>
    </w:p>
    <w:p w14:paraId="45E16683">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Fonts w:ascii="黑体" w:hAnsi="黑体" w:eastAsia="黑体"/>
          <w:sz w:val="32"/>
          <w:szCs w:val="32"/>
        </w:rPr>
      </w:pPr>
      <w:r>
        <w:rPr>
          <w:rFonts w:hint="eastAsia" w:ascii="黑体" w:hAnsi="黑体" w:eastAsia="黑体"/>
          <w:sz w:val="32"/>
          <w:szCs w:val="32"/>
        </w:rPr>
        <w:t>二、参与比选确认</w:t>
      </w:r>
    </w:p>
    <w:p w14:paraId="3402BAF8">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任何意向参与此次非公开发行公司债券主承销商比选的机构，须按附件3规定的投标文件在接收截止时间之前将投标文件以密封形式，通过邮寄或现场呈递方式送达武汉高科国有控股集团有限公司。</w:t>
      </w:r>
    </w:p>
    <w:p w14:paraId="77B271D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Fonts w:ascii="黑体" w:hAnsi="黑体" w:eastAsia="黑体"/>
          <w:sz w:val="32"/>
          <w:szCs w:val="32"/>
        </w:rPr>
      </w:pPr>
      <w:r>
        <w:rPr>
          <w:rFonts w:hint="eastAsia" w:ascii="黑体" w:hAnsi="黑体" w:eastAsia="黑体"/>
          <w:sz w:val="32"/>
          <w:szCs w:val="32"/>
        </w:rPr>
        <w:t>三、比选文件编写</w:t>
      </w:r>
    </w:p>
    <w:p w14:paraId="3E1E28B2">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（一）所有参与的金融机构均须按照附件4：《比选文件格式》编写和准备比选文件。</w:t>
      </w:r>
    </w:p>
    <w:p w14:paraId="4AEE373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（二）比选文件的数量和签署</w:t>
      </w:r>
    </w:p>
    <w:p w14:paraId="28E56CE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1.</w:t>
      </w:r>
      <w:r>
        <w:rPr>
          <w:sz w:val="32"/>
          <w:szCs w:val="32"/>
        </w:rPr>
        <w:t xml:space="preserve"> </w:t>
      </w:r>
      <w:r>
        <w:rPr>
          <w:rFonts w:hint="eastAsia"/>
          <w:sz w:val="32"/>
          <w:szCs w:val="32"/>
        </w:rPr>
        <w:t>参与机构应编制比选文件一式7份（正副本均可）。</w:t>
      </w:r>
    </w:p>
    <w:p w14:paraId="0E69AD8A">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2</w:t>
      </w:r>
      <w:r>
        <w:rPr>
          <w:sz w:val="32"/>
          <w:szCs w:val="32"/>
        </w:rPr>
        <w:t xml:space="preserve">. </w:t>
      </w:r>
      <w:r>
        <w:rPr>
          <w:rFonts w:hint="eastAsia"/>
          <w:sz w:val="32"/>
          <w:szCs w:val="32"/>
        </w:rPr>
        <w:t>比选文件的正本需打印或用不褪色墨水书写，并由法定代表人或经其正式授权的代表签字或加盖法人章，授权代表须出具书面授权证明，其《法定代表人授权书》应附在比选文件中。</w:t>
      </w:r>
    </w:p>
    <w:p w14:paraId="2B9C288A">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Fonts w:ascii="黑体" w:hAnsi="黑体" w:eastAsia="黑体"/>
          <w:sz w:val="32"/>
          <w:szCs w:val="32"/>
        </w:rPr>
      </w:pPr>
      <w:r>
        <w:rPr>
          <w:rFonts w:hint="eastAsia" w:ascii="黑体" w:hAnsi="黑体" w:eastAsia="黑体"/>
          <w:sz w:val="32"/>
          <w:szCs w:val="32"/>
        </w:rPr>
        <w:t>四、比选文件递交</w:t>
      </w:r>
    </w:p>
    <w:p w14:paraId="550A4A1E">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1.</w:t>
      </w:r>
      <w:r>
        <w:rPr>
          <w:sz w:val="32"/>
          <w:szCs w:val="32"/>
        </w:rPr>
        <w:t xml:space="preserve"> </w:t>
      </w:r>
      <w:r>
        <w:rPr>
          <w:rFonts w:hint="eastAsia"/>
          <w:sz w:val="32"/>
          <w:szCs w:val="32"/>
        </w:rPr>
        <w:t>参与机构根据比选文件所列的资格及评审要求提交相关资料。</w:t>
      </w:r>
    </w:p>
    <w:p w14:paraId="51B086CC">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2.</w:t>
      </w:r>
      <w:r>
        <w:rPr>
          <w:sz w:val="32"/>
          <w:szCs w:val="32"/>
        </w:rPr>
        <w:t xml:space="preserve"> </w:t>
      </w:r>
      <w:r>
        <w:rPr>
          <w:rFonts w:hint="eastAsia"/>
          <w:sz w:val="32"/>
          <w:szCs w:val="32"/>
        </w:rPr>
        <w:t>比选文件的密封和标记。参与机构应将所有比选文件一起密封包装，并在外包装上清晰标明“比选文件”字样。</w:t>
      </w:r>
    </w:p>
    <w:p w14:paraId="24743925">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3.</w:t>
      </w:r>
      <w:r>
        <w:rPr>
          <w:sz w:val="32"/>
          <w:szCs w:val="32"/>
        </w:rPr>
        <w:t xml:space="preserve"> </w:t>
      </w:r>
      <w:r>
        <w:rPr>
          <w:rFonts w:hint="eastAsia"/>
          <w:sz w:val="32"/>
          <w:szCs w:val="32"/>
        </w:rPr>
        <w:t>信封或外包装上应当注明项目名称，封口处应加盖参与机构印章。</w:t>
      </w:r>
    </w:p>
    <w:p w14:paraId="340CE258">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4</w:t>
      </w:r>
      <w:r>
        <w:rPr>
          <w:sz w:val="32"/>
          <w:szCs w:val="32"/>
        </w:rPr>
        <w:t xml:space="preserve">. </w:t>
      </w:r>
      <w:r>
        <w:rPr>
          <w:rFonts w:hint="eastAsia"/>
          <w:sz w:val="32"/>
          <w:szCs w:val="32"/>
        </w:rPr>
        <w:t>以联合体方式参与评选的，应由联合体牵头方提交比选文件，比选文件中应含联合体协议（格式自拟），联合体协议中应载明联合体牵头方名称并由联合体牵头方处理与比选和成交有关的一切事务。</w:t>
      </w:r>
    </w:p>
    <w:p w14:paraId="6750FAEB">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Fonts w:ascii="黑体" w:hAnsi="黑体" w:eastAsia="黑体"/>
          <w:sz w:val="32"/>
          <w:szCs w:val="32"/>
        </w:rPr>
      </w:pPr>
      <w:r>
        <w:rPr>
          <w:rFonts w:hint="eastAsia" w:ascii="黑体" w:hAnsi="黑体" w:eastAsia="黑体"/>
          <w:sz w:val="32"/>
          <w:szCs w:val="32"/>
        </w:rPr>
        <w:t>五、主承销商的评选</w:t>
      </w:r>
    </w:p>
    <w:p w14:paraId="50528DA9">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具体比选方式另行通知。比选工作的评审由评审小组负责，评审小组根据参与机构的比选文件及评审标准进行打分并根据集团公司相关流程确定本次债券承销商。</w:t>
      </w:r>
    </w:p>
    <w:p w14:paraId="1D0D6817">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Fonts w:ascii="黑体" w:hAnsi="黑体" w:eastAsia="黑体"/>
          <w:sz w:val="32"/>
          <w:szCs w:val="32"/>
        </w:rPr>
      </w:pPr>
      <w:r>
        <w:rPr>
          <w:rFonts w:hint="eastAsia" w:ascii="黑体" w:hAnsi="黑体" w:eastAsia="黑体"/>
          <w:sz w:val="32"/>
          <w:szCs w:val="32"/>
        </w:rPr>
        <w:t>六、比选结果通知</w:t>
      </w:r>
    </w:p>
    <w:p w14:paraId="77F0009E">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sz w:val="32"/>
          <w:szCs w:val="32"/>
        </w:rPr>
      </w:pPr>
      <w:r>
        <w:rPr>
          <w:rFonts w:hint="eastAsia"/>
          <w:sz w:val="32"/>
          <w:szCs w:val="32"/>
        </w:rPr>
        <w:t>武汉高科国有控股集团有限公司将以书面形式通知经评审最终确定的聘用机构。</w:t>
      </w:r>
    </w:p>
    <w:p w14:paraId="5CB2B82B">
      <w:pPr>
        <w:pStyle w:val="16"/>
        <w:spacing w:line="580" w:lineRule="exact"/>
        <w:jc w:val="both"/>
        <w:rPr>
          <w:sz w:val="32"/>
          <w:szCs w:val="32"/>
        </w:rPr>
      </w:pPr>
    </w:p>
    <w:p w14:paraId="1831D02D">
      <w:pPr>
        <w:pStyle w:val="16"/>
        <w:spacing w:line="580" w:lineRule="exact"/>
        <w:rPr>
          <w:sz w:val="32"/>
          <w:szCs w:val="32"/>
        </w:rPr>
        <w:sectPr>
          <w:pgSz w:w="11906" w:h="16838"/>
          <w:pgMar w:top="1440" w:right="1800" w:bottom="1440" w:left="1800" w:header="851" w:footer="992" w:gutter="0"/>
          <w:cols w:space="425" w:num="1"/>
          <w:docGrid w:type="lines" w:linePitch="312" w:charSpace="0"/>
        </w:sectPr>
      </w:pPr>
    </w:p>
    <w:p w14:paraId="49C084DA">
      <w:pPr>
        <w:pStyle w:val="16"/>
        <w:spacing w:line="580" w:lineRule="exact"/>
        <w:ind w:left="0" w:leftChars="0" w:firstLine="0" w:firstLineChars="0"/>
        <w:rPr>
          <w:rFonts w:ascii="黑体" w:hAnsi="黑体" w:eastAsia="黑体"/>
          <w:sz w:val="32"/>
          <w:szCs w:val="32"/>
        </w:rPr>
      </w:pPr>
      <w:r>
        <w:rPr>
          <w:rFonts w:hint="eastAsia" w:ascii="黑体" w:hAnsi="黑体" w:eastAsia="黑体"/>
          <w:sz w:val="32"/>
          <w:szCs w:val="32"/>
        </w:rPr>
        <w:t>附件3</w:t>
      </w:r>
    </w:p>
    <w:p w14:paraId="465032F4">
      <w:pPr>
        <w:pStyle w:val="16"/>
        <w:spacing w:line="580" w:lineRule="exact"/>
        <w:jc w:val="center"/>
        <w:rPr>
          <w:rStyle w:val="20"/>
          <w:rFonts w:ascii="方正小标宋简体" w:eastAsia="方正小标宋简体"/>
          <w:b w:val="0"/>
          <w:sz w:val="44"/>
          <w:szCs w:val="44"/>
        </w:rPr>
      </w:pPr>
      <w:r>
        <w:rPr>
          <w:rStyle w:val="20"/>
          <w:rFonts w:hint="eastAsia" w:ascii="方正小标宋简体" w:eastAsia="方正小标宋简体"/>
          <w:b w:val="0"/>
          <w:sz w:val="44"/>
          <w:szCs w:val="44"/>
        </w:rPr>
        <w:t>投标文件内容</w:t>
      </w:r>
    </w:p>
    <w:p w14:paraId="40CA0B7E">
      <w:pPr>
        <w:pStyle w:val="16"/>
        <w:spacing w:line="580" w:lineRule="exact"/>
        <w:jc w:val="center"/>
        <w:rPr>
          <w:rStyle w:val="20"/>
          <w:rFonts w:ascii="方正小标宋简体" w:eastAsia="方正小标宋简体"/>
          <w:b w:val="0"/>
          <w:sz w:val="44"/>
          <w:szCs w:val="44"/>
        </w:rPr>
      </w:pPr>
    </w:p>
    <w:p w14:paraId="14B56766">
      <w:pPr>
        <w:pStyle w:val="16"/>
        <w:keepNext w:val="0"/>
        <w:keepLines w:val="0"/>
        <w:pageBreakBefore w:val="0"/>
        <w:widowControl/>
        <w:numPr>
          <w:numId w:val="0"/>
        </w:numPr>
        <w:kinsoku/>
        <w:wordWrap/>
        <w:overflowPunct/>
        <w:topLinePunct w:val="0"/>
        <w:autoSpaceDE/>
        <w:autoSpaceDN/>
        <w:bidi w:val="0"/>
        <w:adjustRightInd w:val="0"/>
        <w:snapToGrid w:val="0"/>
        <w:spacing w:line="580" w:lineRule="exact"/>
        <w:ind w:firstLine="640" w:firstLineChars="200"/>
        <w:textAlignment w:val="baseline"/>
        <w:rPr>
          <w:rStyle w:val="20"/>
          <w:rFonts w:ascii="黑体" w:hAnsi="黑体" w:eastAsia="黑体"/>
          <w:b w:val="0"/>
          <w:sz w:val="32"/>
          <w:szCs w:val="32"/>
        </w:rPr>
      </w:pPr>
      <w:r>
        <w:rPr>
          <w:rStyle w:val="20"/>
          <w:rFonts w:hint="eastAsia" w:ascii="黑体" w:hAnsi="黑体" w:eastAsia="黑体"/>
          <w:b w:val="0"/>
          <w:sz w:val="32"/>
          <w:szCs w:val="32"/>
          <w:lang w:val="en-US" w:eastAsia="zh-CN"/>
        </w:rPr>
        <w:t>一、</w:t>
      </w:r>
      <w:r>
        <w:rPr>
          <w:rStyle w:val="20"/>
          <w:rFonts w:hint="eastAsia" w:ascii="黑体" w:hAnsi="黑体" w:eastAsia="黑体"/>
          <w:b w:val="0"/>
          <w:sz w:val="32"/>
          <w:szCs w:val="32"/>
        </w:rPr>
        <w:t>投标报价</w:t>
      </w:r>
    </w:p>
    <w:p w14:paraId="0CC2FA90">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b w:val="0"/>
          <w:bCs/>
          <w:sz w:val="32"/>
          <w:szCs w:val="32"/>
        </w:rPr>
      </w:pPr>
      <w:r>
        <w:rPr>
          <w:rStyle w:val="20"/>
          <w:rFonts w:hint="eastAsia"/>
          <w:b w:val="0"/>
          <w:bCs/>
          <w:sz w:val="32"/>
          <w:szCs w:val="32"/>
        </w:rPr>
        <w:t>投标人报价年化承销费率均不得超过0.3%/年。</w:t>
      </w:r>
    </w:p>
    <w:p w14:paraId="59146677">
      <w:pPr>
        <w:pStyle w:val="16"/>
        <w:keepNext w:val="0"/>
        <w:keepLines w:val="0"/>
        <w:pageBreakBefore w:val="0"/>
        <w:widowControl/>
        <w:numPr>
          <w:ilvl w:val="0"/>
          <w:numId w:val="0"/>
        </w:numPr>
        <w:kinsoku/>
        <w:wordWrap/>
        <w:overflowPunct/>
        <w:topLinePunct w:val="0"/>
        <w:autoSpaceDE/>
        <w:autoSpaceDN/>
        <w:bidi w:val="0"/>
        <w:adjustRightInd w:val="0"/>
        <w:snapToGrid w:val="0"/>
        <w:spacing w:line="580" w:lineRule="exact"/>
        <w:ind w:firstLine="640" w:firstLineChars="200"/>
        <w:jc w:val="both"/>
        <w:textAlignment w:val="baseline"/>
        <w:rPr>
          <w:rStyle w:val="20"/>
          <w:b w:val="0"/>
          <w:sz w:val="32"/>
          <w:szCs w:val="32"/>
        </w:rPr>
      </w:pPr>
      <w:r>
        <w:rPr>
          <w:rStyle w:val="20"/>
          <w:rFonts w:hint="eastAsia" w:ascii="黑体" w:hAnsi="黑体" w:eastAsia="黑体"/>
          <w:b w:val="0"/>
          <w:sz w:val="32"/>
          <w:szCs w:val="32"/>
          <w:lang w:val="en-US" w:eastAsia="zh-CN"/>
        </w:rPr>
        <w:t>二、</w:t>
      </w:r>
      <w:r>
        <w:rPr>
          <w:rStyle w:val="20"/>
          <w:rFonts w:hint="eastAsia" w:ascii="黑体" w:hAnsi="黑体" w:eastAsia="黑体"/>
          <w:b w:val="0"/>
          <w:sz w:val="32"/>
          <w:szCs w:val="32"/>
        </w:rPr>
        <w:t>综合实力</w:t>
      </w:r>
    </w:p>
    <w:p w14:paraId="3BCC1C33">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bCs/>
          <w:sz w:val="32"/>
          <w:szCs w:val="32"/>
        </w:rPr>
      </w:pPr>
      <w:r>
        <w:rPr>
          <w:rStyle w:val="20"/>
          <w:rFonts w:hint="eastAsia" w:ascii="黑体" w:hAnsi="黑体" w:eastAsia="黑体"/>
          <w:b w:val="0"/>
          <w:bCs/>
          <w:sz w:val="32"/>
          <w:szCs w:val="32"/>
        </w:rPr>
        <w:t>（一）债券业务执业质量</w:t>
      </w:r>
    </w:p>
    <w:p w14:paraId="37ACDDF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b w:val="0"/>
          <w:bCs/>
          <w:sz w:val="32"/>
          <w:szCs w:val="32"/>
        </w:rPr>
      </w:pPr>
      <w:r>
        <w:rPr>
          <w:rStyle w:val="20"/>
          <w:rFonts w:hint="eastAsia"/>
          <w:b w:val="0"/>
          <w:bCs/>
          <w:sz w:val="32"/>
          <w:szCs w:val="32"/>
        </w:rPr>
        <w:t>投标人需提供2023年、2024年中国证券业协会发布的证券公司债券业务执业质量评价结果并加盖投标人单位公章。</w:t>
      </w:r>
    </w:p>
    <w:p w14:paraId="39A31123">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bCs/>
          <w:sz w:val="32"/>
          <w:szCs w:val="32"/>
        </w:rPr>
      </w:pPr>
      <w:r>
        <w:rPr>
          <w:rStyle w:val="20"/>
          <w:rFonts w:hint="eastAsia" w:ascii="黑体" w:hAnsi="黑体" w:eastAsia="黑体"/>
          <w:b w:val="0"/>
          <w:bCs/>
          <w:sz w:val="32"/>
          <w:szCs w:val="32"/>
        </w:rPr>
        <w:t>（二）合规经营</w:t>
      </w:r>
    </w:p>
    <w:p w14:paraId="0A20260D">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b w:val="0"/>
          <w:bCs/>
          <w:sz w:val="32"/>
          <w:szCs w:val="32"/>
        </w:rPr>
      </w:pPr>
      <w:r>
        <w:rPr>
          <w:rStyle w:val="20"/>
          <w:rFonts w:hint="eastAsia"/>
          <w:b w:val="0"/>
          <w:bCs/>
          <w:sz w:val="32"/>
          <w:szCs w:val="32"/>
        </w:rPr>
        <w:t>投标人提供</w:t>
      </w:r>
      <w:r>
        <w:rPr>
          <w:rStyle w:val="20"/>
          <w:rFonts w:hint="eastAsia"/>
          <w:b w:val="0"/>
          <w:bCs/>
          <w:sz w:val="32"/>
          <w:szCs w:val="32"/>
          <w:lang w:eastAsia="zh-Hans" w:bidi="ar"/>
        </w:rPr>
        <w:t>2020年1月1日至</w:t>
      </w:r>
      <w:r>
        <w:rPr>
          <w:rStyle w:val="20"/>
          <w:rFonts w:hint="eastAsia"/>
          <w:b w:val="0"/>
          <w:bCs/>
          <w:sz w:val="32"/>
          <w:szCs w:val="32"/>
          <w:lang w:bidi="ar"/>
        </w:rPr>
        <w:t>今</w:t>
      </w:r>
      <w:r>
        <w:rPr>
          <w:rStyle w:val="20"/>
          <w:rFonts w:hint="eastAsia"/>
          <w:b w:val="0"/>
          <w:bCs/>
          <w:sz w:val="32"/>
          <w:szCs w:val="32"/>
          <w:lang w:eastAsia="zh-Hans" w:bidi="ar"/>
        </w:rPr>
        <w:t>受到中国证监会监管措施</w:t>
      </w:r>
      <w:r>
        <w:rPr>
          <w:rStyle w:val="20"/>
          <w:rFonts w:hint="eastAsia"/>
          <w:b w:val="0"/>
          <w:bCs/>
          <w:sz w:val="32"/>
          <w:szCs w:val="32"/>
          <w:lang w:bidi="ar"/>
        </w:rPr>
        <w:t>情况。投标人</w:t>
      </w:r>
      <w:r>
        <w:rPr>
          <w:rStyle w:val="20"/>
          <w:rFonts w:hint="eastAsia"/>
          <w:b w:val="0"/>
          <w:bCs/>
          <w:sz w:val="32"/>
          <w:szCs w:val="32"/>
          <w:lang w:eastAsia="zh-Hans" w:bidi="ar"/>
        </w:rPr>
        <w:t>须提供中国证监会官方网站查询截图</w:t>
      </w:r>
      <w:r>
        <w:rPr>
          <w:rStyle w:val="20"/>
          <w:rFonts w:hint="eastAsia"/>
          <w:b w:val="0"/>
          <w:bCs/>
          <w:sz w:val="32"/>
          <w:szCs w:val="32"/>
          <w:lang w:bidi="ar"/>
        </w:rPr>
        <w:t>。具体</w:t>
      </w:r>
      <w:r>
        <w:rPr>
          <w:rStyle w:val="20"/>
          <w:rFonts w:hint="eastAsia"/>
          <w:b w:val="0"/>
          <w:bCs/>
          <w:sz w:val="32"/>
          <w:szCs w:val="32"/>
          <w:lang w:eastAsia="zh-Hans" w:bidi="ar"/>
        </w:rPr>
        <w:t>查询路径：中国证监会-政府信息公开-主动公开目录-按体裁文种查看，选择“监管措施”截图，如有处罚，需包含处罚内容截图</w:t>
      </w:r>
      <w:r>
        <w:rPr>
          <w:rStyle w:val="20"/>
          <w:rFonts w:hint="eastAsia"/>
          <w:b w:val="0"/>
          <w:bCs/>
          <w:sz w:val="32"/>
          <w:szCs w:val="32"/>
          <w:lang w:bidi="ar"/>
        </w:rPr>
        <w:t>，另需对相关处罚信息（处罚次数）的准确性出具承诺函</w:t>
      </w:r>
      <w:r>
        <w:rPr>
          <w:rStyle w:val="20"/>
          <w:rFonts w:hint="eastAsia"/>
          <w:b w:val="0"/>
          <w:bCs/>
          <w:sz w:val="32"/>
          <w:szCs w:val="32"/>
        </w:rPr>
        <w:t>并加盖投标人单位公章。</w:t>
      </w:r>
    </w:p>
    <w:p w14:paraId="491E1CED">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hint="eastAsia" w:ascii="黑体" w:hAnsi="黑体" w:eastAsia="黑体"/>
          <w:b w:val="0"/>
          <w:sz w:val="32"/>
          <w:szCs w:val="32"/>
        </w:rPr>
        <w:t>三、承销实力</w:t>
      </w:r>
    </w:p>
    <w:p w14:paraId="0F875AD3">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bCs/>
          <w:sz w:val="32"/>
          <w:szCs w:val="32"/>
        </w:rPr>
      </w:pPr>
      <w:r>
        <w:rPr>
          <w:rStyle w:val="20"/>
          <w:rFonts w:hint="eastAsia" w:ascii="黑体" w:hAnsi="黑体" w:eastAsia="黑体"/>
          <w:b w:val="0"/>
          <w:bCs/>
          <w:sz w:val="32"/>
          <w:szCs w:val="32"/>
        </w:rPr>
        <w:t>（一）全国公司债承销规模</w:t>
      </w:r>
    </w:p>
    <w:p w14:paraId="2A9C3BD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b w:val="0"/>
          <w:bCs/>
          <w:sz w:val="32"/>
          <w:szCs w:val="32"/>
        </w:rPr>
      </w:pPr>
      <w:r>
        <w:rPr>
          <w:rStyle w:val="20"/>
          <w:rFonts w:hint="eastAsia"/>
          <w:b w:val="0"/>
          <w:bCs/>
          <w:sz w:val="32"/>
          <w:szCs w:val="32"/>
        </w:rPr>
        <w:t>根据Wind全国范围内公司债券（含企业债券）承销数据承销规模统计结果出具查询截图并加盖投标人单位公章。具体口径为：Wind-债券专题-一级市场-承销统计-债券承销排名（Wind口径）-任意区间2020年1月1日-2024年12月31日；机构类型，选择“证券”；债券分类选择“公司债”和“企业债”；</w:t>
      </w:r>
      <w:r>
        <w:rPr>
          <w:rStyle w:val="20"/>
          <w:rFonts w:hint="eastAsia"/>
          <w:b w:val="0"/>
          <w:sz w:val="32"/>
          <w:szCs w:val="32"/>
          <w:lang w:eastAsia="zh-Hans" w:bidi="ar"/>
        </w:rPr>
        <w:t>“合并母子公司”，不选择“自主自办发行”</w:t>
      </w:r>
      <w:r>
        <w:rPr>
          <w:rStyle w:val="20"/>
          <w:rFonts w:hint="eastAsia"/>
          <w:b w:val="0"/>
          <w:bCs/>
          <w:sz w:val="32"/>
          <w:szCs w:val="32"/>
        </w:rPr>
        <w:t>。</w:t>
      </w:r>
    </w:p>
    <w:p w14:paraId="2CBB0189">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bCs/>
          <w:sz w:val="32"/>
          <w:szCs w:val="32"/>
        </w:rPr>
      </w:pPr>
      <w:r>
        <w:rPr>
          <w:rStyle w:val="20"/>
          <w:rFonts w:hint="eastAsia" w:ascii="黑体" w:hAnsi="黑体" w:eastAsia="黑体"/>
          <w:b w:val="0"/>
          <w:bCs/>
          <w:sz w:val="32"/>
          <w:szCs w:val="32"/>
        </w:rPr>
        <w:t>（二）湖北省私募债承销规模</w:t>
      </w:r>
    </w:p>
    <w:p w14:paraId="4F0F9F0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b w:val="0"/>
          <w:bCs/>
          <w:sz w:val="32"/>
          <w:szCs w:val="32"/>
        </w:rPr>
      </w:pPr>
      <w:r>
        <w:rPr>
          <w:rStyle w:val="20"/>
          <w:rFonts w:hint="eastAsia"/>
          <w:b w:val="0"/>
          <w:bCs/>
          <w:sz w:val="32"/>
          <w:szCs w:val="32"/>
        </w:rPr>
        <w:t>根据Wind湖北省私募公司债券承销数据承销规模统计结果出具查询截图并加盖投标人单位公章。具体口径为：Wind-债券专题-一级市场-承销统计-债券承销排名（Wind口径）-任意区间2020年1月1日-2024年12月31日；机构类型，选择“证券”；债券分类选择“私募债”；</w:t>
      </w:r>
      <w:r>
        <w:rPr>
          <w:rStyle w:val="20"/>
          <w:rFonts w:hint="eastAsia"/>
          <w:b w:val="0"/>
          <w:sz w:val="32"/>
          <w:szCs w:val="32"/>
          <w:lang w:eastAsia="zh-Hans" w:bidi="ar"/>
        </w:rPr>
        <w:t>“合并母子公司”，不选择“自主自办发行”</w:t>
      </w:r>
      <w:r>
        <w:rPr>
          <w:rStyle w:val="20"/>
          <w:rFonts w:hint="eastAsia"/>
          <w:b w:val="0"/>
          <w:bCs/>
          <w:sz w:val="32"/>
          <w:szCs w:val="32"/>
        </w:rPr>
        <w:t>。</w:t>
      </w:r>
    </w:p>
    <w:p w14:paraId="069F0BBB">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bCs/>
          <w:sz w:val="32"/>
          <w:szCs w:val="32"/>
        </w:rPr>
      </w:pPr>
      <w:r>
        <w:rPr>
          <w:rStyle w:val="20"/>
          <w:rFonts w:hint="eastAsia" w:ascii="黑体" w:hAnsi="黑体" w:eastAsia="黑体"/>
          <w:b w:val="0"/>
          <w:bCs/>
          <w:sz w:val="32"/>
          <w:szCs w:val="32"/>
        </w:rPr>
        <w:t>（三）公司债推迟或取消发行情况</w:t>
      </w:r>
    </w:p>
    <w:p w14:paraId="30CB29E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b w:val="0"/>
          <w:bCs/>
          <w:sz w:val="32"/>
          <w:szCs w:val="32"/>
        </w:rPr>
      </w:pPr>
      <w:r>
        <w:rPr>
          <w:rStyle w:val="20"/>
          <w:rFonts w:hint="eastAsia"/>
          <w:b w:val="0"/>
          <w:bCs/>
          <w:sz w:val="32"/>
          <w:szCs w:val="32"/>
        </w:rPr>
        <w:t>投标人出具2023年1月1日-2024年12月31日推迟或取消发行公司债券（含企业债券）合计支数情况查询结果并加盖公章。具体口径为：Wind-债券专题-一级市场-新券发行-推迟或取消发行债券：发生日期选择起始日期：2023-01-01，截止日期选择2024-12-31，“债券分类（wind）-公司债和企业债”，上市地点选择“全部市场”，①事件类型选择取消发行，筛选主承销商“输入投标人名称”，截取取消发行债券情况页面加盖投标人单位公章；②事件类型选择推迟发行，筛选主承销商“输入投标人名称”，截取推迟发行债券情况页面加盖投标人单位公章。</w:t>
      </w:r>
    </w:p>
    <w:p w14:paraId="48CEDA8B">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rFonts w:ascii="黑体" w:hAnsi="黑体" w:eastAsia="黑体"/>
          <w:b w:val="0"/>
          <w:sz w:val="32"/>
          <w:szCs w:val="32"/>
        </w:rPr>
      </w:pPr>
      <w:r>
        <w:rPr>
          <w:rStyle w:val="20"/>
          <w:rFonts w:hint="eastAsia" w:ascii="黑体" w:hAnsi="黑体" w:eastAsia="黑体"/>
          <w:b w:val="0"/>
          <w:sz w:val="32"/>
          <w:szCs w:val="32"/>
        </w:rPr>
        <w:t>四、本次债券发行方案</w:t>
      </w:r>
    </w:p>
    <w:p w14:paraId="74C4999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b w:val="0"/>
          <w:bCs/>
          <w:sz w:val="32"/>
          <w:szCs w:val="32"/>
        </w:rPr>
      </w:pPr>
      <w:r>
        <w:rPr>
          <w:rStyle w:val="20"/>
          <w:rFonts w:hint="eastAsia"/>
          <w:b w:val="0"/>
          <w:bCs/>
          <w:sz w:val="32"/>
          <w:szCs w:val="32"/>
        </w:rPr>
        <w:t>发行方案设计、发行时间及工作安排、团队管理方案、服务质量保证措施。</w:t>
      </w:r>
    </w:p>
    <w:p w14:paraId="5A07C9DC">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jc w:val="both"/>
        <w:textAlignment w:val="baseline"/>
        <w:rPr>
          <w:rStyle w:val="20"/>
          <w:b w:val="0"/>
          <w:bCs/>
          <w:sz w:val="32"/>
          <w:szCs w:val="32"/>
        </w:rPr>
      </w:pPr>
      <w:r>
        <w:rPr>
          <w:rStyle w:val="20"/>
          <w:rFonts w:hint="eastAsia"/>
          <w:b w:val="0"/>
          <w:bCs/>
          <w:sz w:val="32"/>
          <w:szCs w:val="32"/>
        </w:rPr>
        <w:t>注：以联合体形式参与评选的，应以联合体牵头方指标作为评选依据，由联合体牵头方提供上述评分资料。</w:t>
      </w:r>
    </w:p>
    <w:p w14:paraId="1FD8EABE">
      <w:pPr>
        <w:pStyle w:val="16"/>
        <w:spacing w:line="580" w:lineRule="exact"/>
        <w:rPr>
          <w:rStyle w:val="20"/>
          <w:sz w:val="32"/>
          <w:szCs w:val="32"/>
        </w:rPr>
        <w:sectPr>
          <w:pgSz w:w="11906" w:h="16838"/>
          <w:pgMar w:top="1440" w:right="1800" w:bottom="1440" w:left="1800" w:header="851" w:footer="992" w:gutter="0"/>
          <w:cols w:space="425" w:num="1"/>
          <w:docGrid w:type="lines" w:linePitch="312" w:charSpace="0"/>
        </w:sectPr>
      </w:pPr>
    </w:p>
    <w:p w14:paraId="2FDEFD69">
      <w:pPr>
        <w:pStyle w:val="16"/>
        <w:spacing w:line="580" w:lineRule="exact"/>
        <w:ind w:left="0" w:leftChars="0" w:firstLine="0" w:firstLineChars="0"/>
        <w:rPr>
          <w:rFonts w:ascii="黑体" w:hAnsi="黑体" w:eastAsia="黑体"/>
          <w:b/>
          <w:sz w:val="32"/>
          <w:szCs w:val="32"/>
        </w:rPr>
      </w:pPr>
      <w:r>
        <w:rPr>
          <w:rStyle w:val="20"/>
          <w:rFonts w:hint="eastAsia" w:ascii="黑体" w:hAnsi="黑体" w:eastAsia="黑体"/>
          <w:b w:val="0"/>
          <w:sz w:val="32"/>
          <w:szCs w:val="32"/>
        </w:rPr>
        <w:t>附件4</w:t>
      </w:r>
    </w:p>
    <w:p w14:paraId="537CFD35">
      <w:pPr>
        <w:pStyle w:val="16"/>
        <w:spacing w:line="580" w:lineRule="exact"/>
        <w:jc w:val="center"/>
        <w:rPr>
          <w:rFonts w:ascii="方正小标宋简体" w:eastAsia="方正小标宋简体"/>
          <w:sz w:val="44"/>
          <w:szCs w:val="44"/>
        </w:rPr>
      </w:pPr>
      <w:r>
        <w:rPr>
          <w:rFonts w:hint="eastAsia" w:ascii="方正小标宋简体" w:eastAsia="方正小标宋简体"/>
          <w:sz w:val="44"/>
          <w:szCs w:val="44"/>
        </w:rPr>
        <w:t>比选文件格式</w:t>
      </w:r>
    </w:p>
    <w:p w14:paraId="5BB3C6E1">
      <w:pPr>
        <w:pStyle w:val="16"/>
        <w:spacing w:line="580" w:lineRule="exact"/>
        <w:jc w:val="center"/>
        <w:rPr>
          <w:rFonts w:ascii="方正小标宋简体" w:eastAsia="方正小标宋简体"/>
          <w:sz w:val="44"/>
          <w:szCs w:val="44"/>
        </w:rPr>
      </w:pPr>
    </w:p>
    <w:p w14:paraId="42192E52">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一、机构简介</w:t>
      </w:r>
    </w:p>
    <w:p w14:paraId="75F602D7">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二、参与比选函</w:t>
      </w:r>
    </w:p>
    <w:p w14:paraId="3C5C19AC">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三、法定代表人资格证明书及授权委托书</w:t>
      </w:r>
    </w:p>
    <w:p w14:paraId="312AF91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四、资格的声明函</w:t>
      </w:r>
    </w:p>
    <w:p w14:paraId="095584BD">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五、报价一览表</w:t>
      </w:r>
    </w:p>
    <w:p w14:paraId="0E719C1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六、联合体协议书（如有）</w:t>
      </w:r>
    </w:p>
    <w:p w14:paraId="03A58D66">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七、评分资料</w:t>
      </w:r>
    </w:p>
    <w:p w14:paraId="0397583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p>
    <w:p w14:paraId="0515A613">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一、机构简介</w:t>
      </w:r>
    </w:p>
    <w:p w14:paraId="7794F102">
      <w:pPr>
        <w:pStyle w:val="16"/>
        <w:spacing w:line="580" w:lineRule="exact"/>
        <w:jc w:val="center"/>
        <w:rPr>
          <w:b/>
          <w:sz w:val="32"/>
          <w:szCs w:val="32"/>
        </w:rPr>
      </w:pPr>
      <w:r>
        <w:rPr>
          <w:rFonts w:hint="eastAsia"/>
          <w:b/>
          <w:sz w:val="32"/>
          <w:szCs w:val="32"/>
        </w:rPr>
        <w:t>简 介</w:t>
      </w:r>
    </w:p>
    <w:p w14:paraId="1EC8F649">
      <w:pPr>
        <w:pStyle w:val="16"/>
        <w:spacing w:line="580" w:lineRule="exact"/>
        <w:jc w:val="center"/>
        <w:rPr>
          <w:sz w:val="32"/>
          <w:szCs w:val="32"/>
        </w:rPr>
      </w:pPr>
      <w:r>
        <w:rPr>
          <w:rFonts w:hint="eastAsia"/>
          <w:sz w:val="32"/>
          <w:szCs w:val="32"/>
        </w:rPr>
        <w:t>（格式自拟）</w:t>
      </w:r>
    </w:p>
    <w:p w14:paraId="36B3B5B5">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二、参与比选函</w:t>
      </w:r>
    </w:p>
    <w:p w14:paraId="1CA8317D">
      <w:pPr>
        <w:pStyle w:val="16"/>
        <w:spacing w:line="580" w:lineRule="exact"/>
        <w:jc w:val="center"/>
        <w:rPr>
          <w:b/>
          <w:sz w:val="32"/>
          <w:szCs w:val="32"/>
        </w:rPr>
      </w:pPr>
      <w:r>
        <w:rPr>
          <w:rFonts w:hint="eastAsia"/>
          <w:b/>
          <w:sz w:val="32"/>
          <w:szCs w:val="32"/>
        </w:rPr>
        <w:t>参与比选函</w:t>
      </w:r>
    </w:p>
    <w:p w14:paraId="28F5BF67">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武汉高科国有控股集团有限公司：</w:t>
      </w:r>
    </w:p>
    <w:p w14:paraId="73104DAA">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依据贵司（项目名称）的公告，我司代表（姓名、职务）经正式授权并代表（参与机构名称、地址）提交下述文件_7_份。</w:t>
      </w:r>
    </w:p>
    <w:p w14:paraId="418558B8">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在此，我司声明如下：</w:t>
      </w:r>
    </w:p>
    <w:p w14:paraId="405B4E8C">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1.同意并接受比选方案的各项要求，遵守比选方案中的各项规定，提交比选文件。</w:t>
      </w:r>
    </w:p>
    <w:p w14:paraId="4351E5F0">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2.比选文件有效期为递交之日起90天。</w:t>
      </w:r>
    </w:p>
    <w:p w14:paraId="6D0FCE42">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3.我司已经详细地阅读了全部比选方案及其附件，已完全清晰理解比选方案的要求，不存在任何含糊不清和误解之处，同意放弃对这些文件所提出的异议和质疑的权利。</w:t>
      </w:r>
    </w:p>
    <w:p w14:paraId="49D93B0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4.我司已毫无保留地向贵司提供与本次投标相关的证明材料。</w:t>
      </w:r>
    </w:p>
    <w:p w14:paraId="0316F470">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5.我司承诺在本次比选中提供的一切文件，无论是原件还是复印件均为真实和准确的，绝无任何虚假、伪造和夸大的成份，否则，愿承担相应的后果和法律责任。</w:t>
      </w:r>
    </w:p>
    <w:p w14:paraId="14734A98">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6.我司完全服从和尊重评委会所作的评定结果，同时清楚理解到报价最低并非意味着必定获得中选资格。</w:t>
      </w:r>
    </w:p>
    <w:p w14:paraId="2B08DF9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7.中选后，我司自愿接受贵司对选定相关工作的分配及安排，并积极配合贵司其他中介机构开展相关业务。</w:t>
      </w:r>
    </w:p>
    <w:p w14:paraId="483358F5">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参与机构（法定代表人或授权代表）签字：_________________</w:t>
      </w:r>
    </w:p>
    <w:p w14:paraId="4ACFC53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参与机构名称（签章）：_________________</w:t>
      </w:r>
    </w:p>
    <w:p w14:paraId="547B3EE2">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日期：______年___月___日</w:t>
      </w:r>
    </w:p>
    <w:p w14:paraId="78CC317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三、法定代表人资格证明书及授权委托书格式</w:t>
      </w:r>
    </w:p>
    <w:p w14:paraId="17FCC6EE">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（一）法定代表人资格证明书</w:t>
      </w:r>
    </w:p>
    <w:p w14:paraId="31C85FFC">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致武汉高科国有控股集团有限公司：</w:t>
      </w:r>
    </w:p>
    <w:p w14:paraId="4ECFD49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_________________同志，现任我单位_________职务，为法定代表人，特此证明。</w:t>
      </w:r>
    </w:p>
    <w:tbl>
      <w:tblPr>
        <w:tblStyle w:val="18"/>
        <w:tblW w:w="0" w:type="auto"/>
        <w:tblInd w:w="0" w:type="dxa"/>
        <w:tblLayout w:type="autofit"/>
        <w:tblCellMar>
          <w:top w:w="0" w:type="dxa"/>
          <w:left w:w="0" w:type="dxa"/>
          <w:bottom w:w="0" w:type="dxa"/>
          <w:right w:w="0" w:type="dxa"/>
        </w:tblCellMar>
      </w:tblPr>
      <w:tblGrid>
        <w:gridCol w:w="3349"/>
        <w:gridCol w:w="116"/>
        <w:gridCol w:w="1734"/>
        <w:gridCol w:w="3115"/>
      </w:tblGrid>
      <w:tr w14:paraId="1D1BA2C8">
        <w:tblPrEx>
          <w:tblCellMar>
            <w:top w:w="0" w:type="dxa"/>
            <w:left w:w="0" w:type="dxa"/>
            <w:bottom w:w="0" w:type="dxa"/>
            <w:right w:w="0" w:type="dxa"/>
          </w:tblCellMar>
        </w:tblPrEx>
        <w:tc>
          <w:tcPr>
            <w:tcW w:w="3705" w:type="dxa"/>
            <w:gridSpan w:val="2"/>
            <w:tcBorders>
              <w:top w:val="single" w:color="333333" w:sz="6" w:space="0"/>
              <w:left w:val="single" w:color="333333" w:sz="6" w:space="0"/>
              <w:bottom w:val="single" w:color="333333" w:sz="6" w:space="0"/>
              <w:right w:val="single" w:color="333333" w:sz="6" w:space="0"/>
            </w:tcBorders>
            <w:shd w:val="clear" w:color="auto" w:fill="auto"/>
            <w:vAlign w:val="center"/>
          </w:tcPr>
          <w:p w14:paraId="1E6AD949">
            <w:pPr>
              <w:pStyle w:val="16"/>
              <w:spacing w:line="580" w:lineRule="exact"/>
              <w:rPr>
                <w:sz w:val="32"/>
                <w:szCs w:val="32"/>
              </w:rPr>
            </w:pPr>
            <w:r>
              <w:rPr>
                <w:rFonts w:hint="eastAsia"/>
                <w:sz w:val="32"/>
                <w:szCs w:val="32"/>
              </w:rPr>
              <w:t>签发日期：</w:t>
            </w:r>
          </w:p>
        </w:tc>
        <w:tc>
          <w:tcPr>
            <w:tcW w:w="5145" w:type="dxa"/>
            <w:gridSpan w:val="2"/>
            <w:tcBorders>
              <w:top w:val="single" w:color="333333" w:sz="6" w:space="0"/>
              <w:left w:val="single" w:color="333333" w:sz="6" w:space="0"/>
              <w:bottom w:val="single" w:color="333333" w:sz="6" w:space="0"/>
              <w:right w:val="single" w:color="333333" w:sz="6" w:space="0"/>
            </w:tcBorders>
            <w:shd w:val="clear" w:color="auto" w:fill="auto"/>
            <w:vAlign w:val="center"/>
          </w:tcPr>
          <w:p w14:paraId="1955F57D">
            <w:pPr>
              <w:pStyle w:val="16"/>
              <w:spacing w:line="580" w:lineRule="exact"/>
              <w:rPr>
                <w:sz w:val="32"/>
                <w:szCs w:val="32"/>
              </w:rPr>
            </w:pPr>
            <w:r>
              <w:rPr>
                <w:rFonts w:hint="eastAsia"/>
                <w:sz w:val="32"/>
                <w:szCs w:val="32"/>
              </w:rPr>
              <w:t>单位：（盖章）</w:t>
            </w:r>
          </w:p>
        </w:tc>
      </w:tr>
      <w:tr w14:paraId="752A56B5">
        <w:tblPrEx>
          <w:tblCellMar>
            <w:top w:w="0" w:type="dxa"/>
            <w:left w:w="0" w:type="dxa"/>
            <w:bottom w:w="0" w:type="dxa"/>
            <w:right w:w="0" w:type="dxa"/>
          </w:tblCellMar>
        </w:tblPrEx>
        <w:tc>
          <w:tcPr>
            <w:tcW w:w="8865" w:type="dxa"/>
            <w:gridSpan w:val="4"/>
            <w:tcBorders>
              <w:top w:val="single" w:color="333333" w:sz="6" w:space="0"/>
              <w:left w:val="single" w:color="333333" w:sz="6" w:space="0"/>
              <w:bottom w:val="single" w:color="333333" w:sz="6" w:space="0"/>
              <w:right w:val="single" w:color="333333" w:sz="6" w:space="0"/>
            </w:tcBorders>
            <w:shd w:val="clear" w:color="auto" w:fill="auto"/>
            <w:vAlign w:val="center"/>
          </w:tcPr>
          <w:p w14:paraId="7B7D891D">
            <w:pPr>
              <w:pStyle w:val="16"/>
              <w:spacing w:line="580" w:lineRule="exact"/>
              <w:rPr>
                <w:sz w:val="32"/>
                <w:szCs w:val="32"/>
              </w:rPr>
            </w:pPr>
            <w:r>
              <w:rPr>
                <w:rFonts w:hint="eastAsia"/>
                <w:sz w:val="32"/>
                <w:szCs w:val="32"/>
              </w:rPr>
              <w:t>附：</w:t>
            </w:r>
          </w:p>
        </w:tc>
      </w:tr>
      <w:tr w14:paraId="7B322D8C">
        <w:tblPrEx>
          <w:tblCellMar>
            <w:top w:w="0" w:type="dxa"/>
            <w:left w:w="0" w:type="dxa"/>
            <w:bottom w:w="0" w:type="dxa"/>
            <w:right w:w="0" w:type="dxa"/>
          </w:tblCellMar>
        </w:tblPrEx>
        <w:tc>
          <w:tcPr>
            <w:tcW w:w="3585" w:type="dxa"/>
            <w:tcBorders>
              <w:top w:val="single" w:color="333333" w:sz="6" w:space="0"/>
              <w:left w:val="single" w:color="333333" w:sz="6" w:space="0"/>
              <w:bottom w:val="single" w:color="333333" w:sz="6" w:space="0"/>
              <w:right w:val="single" w:color="333333" w:sz="6" w:space="0"/>
            </w:tcBorders>
            <w:shd w:val="clear" w:color="auto" w:fill="auto"/>
            <w:vAlign w:val="center"/>
          </w:tcPr>
          <w:p w14:paraId="4254C2CC">
            <w:pPr>
              <w:pStyle w:val="16"/>
              <w:spacing w:line="580" w:lineRule="exact"/>
              <w:rPr>
                <w:sz w:val="32"/>
                <w:szCs w:val="32"/>
              </w:rPr>
            </w:pPr>
            <w:r>
              <w:rPr>
                <w:rFonts w:hint="eastAsia"/>
                <w:sz w:val="32"/>
                <w:szCs w:val="32"/>
              </w:rPr>
              <w:t>代表人性别：</w:t>
            </w:r>
          </w:p>
        </w:tc>
        <w:tc>
          <w:tcPr>
            <w:tcW w:w="1950" w:type="dxa"/>
            <w:gridSpan w:val="2"/>
            <w:tcBorders>
              <w:top w:val="single" w:color="333333" w:sz="6" w:space="0"/>
              <w:left w:val="single" w:color="333333" w:sz="6" w:space="0"/>
              <w:bottom w:val="single" w:color="333333" w:sz="6" w:space="0"/>
              <w:right w:val="single" w:color="333333" w:sz="6" w:space="0"/>
            </w:tcBorders>
            <w:shd w:val="clear" w:color="auto" w:fill="auto"/>
            <w:vAlign w:val="center"/>
          </w:tcPr>
          <w:p w14:paraId="2E052BD0">
            <w:pPr>
              <w:pStyle w:val="16"/>
              <w:spacing w:line="580" w:lineRule="exact"/>
              <w:rPr>
                <w:sz w:val="32"/>
                <w:szCs w:val="32"/>
              </w:rPr>
            </w:pPr>
            <w:r>
              <w:rPr>
                <w:rFonts w:hint="eastAsia"/>
                <w:sz w:val="32"/>
                <w:szCs w:val="32"/>
              </w:rPr>
              <w:t>年龄：</w:t>
            </w:r>
          </w:p>
        </w:tc>
        <w:tc>
          <w:tcPr>
            <w:tcW w:w="3315" w:type="dxa"/>
            <w:tcBorders>
              <w:top w:val="single" w:color="333333" w:sz="6" w:space="0"/>
              <w:left w:val="single" w:color="333333" w:sz="6" w:space="0"/>
              <w:bottom w:val="single" w:color="333333" w:sz="6" w:space="0"/>
              <w:right w:val="single" w:color="333333" w:sz="6" w:space="0"/>
            </w:tcBorders>
            <w:shd w:val="clear" w:color="auto" w:fill="auto"/>
            <w:vAlign w:val="center"/>
          </w:tcPr>
          <w:p w14:paraId="22EB65AB">
            <w:pPr>
              <w:pStyle w:val="16"/>
              <w:spacing w:line="580" w:lineRule="exact"/>
              <w:rPr>
                <w:sz w:val="32"/>
                <w:szCs w:val="32"/>
              </w:rPr>
            </w:pPr>
            <w:r>
              <w:rPr>
                <w:rFonts w:hint="eastAsia"/>
                <w:sz w:val="32"/>
                <w:szCs w:val="32"/>
              </w:rPr>
              <w:t> </w:t>
            </w:r>
          </w:p>
        </w:tc>
      </w:tr>
      <w:tr w14:paraId="5CFE9F41">
        <w:tblPrEx>
          <w:tblCellMar>
            <w:top w:w="0" w:type="dxa"/>
            <w:left w:w="0" w:type="dxa"/>
            <w:bottom w:w="0" w:type="dxa"/>
            <w:right w:w="0" w:type="dxa"/>
          </w:tblCellMar>
        </w:tblPrEx>
        <w:tc>
          <w:tcPr>
            <w:tcW w:w="5535" w:type="dxa"/>
            <w:gridSpan w:val="3"/>
            <w:tcBorders>
              <w:top w:val="single" w:color="333333" w:sz="6" w:space="0"/>
              <w:left w:val="single" w:color="333333" w:sz="6" w:space="0"/>
              <w:bottom w:val="single" w:color="333333" w:sz="6" w:space="0"/>
              <w:right w:val="single" w:color="333333" w:sz="6" w:space="0"/>
            </w:tcBorders>
            <w:shd w:val="clear" w:color="auto" w:fill="auto"/>
            <w:vAlign w:val="center"/>
          </w:tcPr>
          <w:p w14:paraId="7A817001">
            <w:pPr>
              <w:pStyle w:val="16"/>
              <w:spacing w:line="580" w:lineRule="exact"/>
              <w:rPr>
                <w:sz w:val="32"/>
                <w:szCs w:val="32"/>
              </w:rPr>
            </w:pPr>
            <w:r>
              <w:rPr>
                <w:rFonts w:hint="eastAsia"/>
                <w:sz w:val="32"/>
                <w:szCs w:val="32"/>
              </w:rPr>
              <w:t>身份证号码：</w:t>
            </w:r>
          </w:p>
        </w:tc>
        <w:tc>
          <w:tcPr>
            <w:tcW w:w="3315" w:type="dxa"/>
            <w:tcBorders>
              <w:top w:val="single" w:color="333333" w:sz="6" w:space="0"/>
              <w:left w:val="single" w:color="333333" w:sz="6" w:space="0"/>
              <w:bottom w:val="single" w:color="333333" w:sz="6" w:space="0"/>
              <w:right w:val="single" w:color="333333" w:sz="6" w:space="0"/>
            </w:tcBorders>
            <w:shd w:val="clear" w:color="auto" w:fill="auto"/>
            <w:vAlign w:val="center"/>
          </w:tcPr>
          <w:p w14:paraId="6BEE0ED9">
            <w:pPr>
              <w:pStyle w:val="16"/>
              <w:spacing w:line="580" w:lineRule="exact"/>
              <w:rPr>
                <w:sz w:val="32"/>
                <w:szCs w:val="32"/>
              </w:rPr>
            </w:pPr>
            <w:r>
              <w:rPr>
                <w:rFonts w:hint="eastAsia"/>
                <w:sz w:val="32"/>
                <w:szCs w:val="32"/>
              </w:rPr>
              <w:t>联系电话：</w:t>
            </w:r>
          </w:p>
        </w:tc>
      </w:tr>
      <w:tr w14:paraId="7F150F1F">
        <w:tblPrEx>
          <w:tblCellMar>
            <w:top w:w="0" w:type="dxa"/>
            <w:left w:w="0" w:type="dxa"/>
            <w:bottom w:w="0" w:type="dxa"/>
            <w:right w:w="0" w:type="dxa"/>
          </w:tblCellMar>
        </w:tblPrEx>
        <w:tc>
          <w:tcPr>
            <w:tcW w:w="5535" w:type="dxa"/>
            <w:gridSpan w:val="3"/>
            <w:tcBorders>
              <w:top w:val="single" w:color="333333" w:sz="6" w:space="0"/>
              <w:left w:val="single" w:color="333333" w:sz="6" w:space="0"/>
              <w:bottom w:val="single" w:color="333333" w:sz="6" w:space="0"/>
              <w:right w:val="single" w:color="333333" w:sz="6" w:space="0"/>
            </w:tcBorders>
            <w:shd w:val="clear" w:color="auto" w:fill="auto"/>
            <w:vAlign w:val="center"/>
          </w:tcPr>
          <w:p w14:paraId="7566C5BC">
            <w:pPr>
              <w:pStyle w:val="16"/>
              <w:spacing w:line="580" w:lineRule="exact"/>
              <w:rPr>
                <w:sz w:val="32"/>
                <w:szCs w:val="32"/>
              </w:rPr>
            </w:pPr>
            <w:r>
              <w:rPr>
                <w:rFonts w:hint="eastAsia"/>
                <w:sz w:val="32"/>
                <w:szCs w:val="32"/>
              </w:rPr>
              <w:t>营业执照号码：</w:t>
            </w:r>
          </w:p>
        </w:tc>
        <w:tc>
          <w:tcPr>
            <w:tcW w:w="3315" w:type="dxa"/>
            <w:tcBorders>
              <w:top w:val="single" w:color="333333" w:sz="6" w:space="0"/>
              <w:left w:val="single" w:color="333333" w:sz="6" w:space="0"/>
              <w:bottom w:val="single" w:color="333333" w:sz="6" w:space="0"/>
              <w:right w:val="single" w:color="333333" w:sz="6" w:space="0"/>
            </w:tcBorders>
            <w:shd w:val="clear" w:color="auto" w:fill="auto"/>
            <w:vAlign w:val="center"/>
          </w:tcPr>
          <w:p w14:paraId="70C636CF">
            <w:pPr>
              <w:pStyle w:val="16"/>
              <w:spacing w:line="580" w:lineRule="exact"/>
              <w:rPr>
                <w:sz w:val="32"/>
                <w:szCs w:val="32"/>
              </w:rPr>
            </w:pPr>
            <w:r>
              <w:rPr>
                <w:rFonts w:hint="eastAsia"/>
                <w:sz w:val="32"/>
                <w:szCs w:val="32"/>
              </w:rPr>
              <w:t>经济性质：</w:t>
            </w:r>
          </w:p>
        </w:tc>
      </w:tr>
      <w:tr w14:paraId="400CBEFB">
        <w:tblPrEx>
          <w:tblCellMar>
            <w:top w:w="0" w:type="dxa"/>
            <w:left w:w="0" w:type="dxa"/>
            <w:bottom w:w="0" w:type="dxa"/>
            <w:right w:w="0" w:type="dxa"/>
          </w:tblCellMar>
        </w:tblPrEx>
        <w:tc>
          <w:tcPr>
            <w:tcW w:w="8865" w:type="dxa"/>
            <w:gridSpan w:val="4"/>
            <w:tcBorders>
              <w:top w:val="single" w:color="333333" w:sz="6" w:space="0"/>
              <w:left w:val="single" w:color="333333" w:sz="6" w:space="0"/>
              <w:bottom w:val="single" w:color="333333" w:sz="6" w:space="0"/>
              <w:right w:val="single" w:color="333333" w:sz="6" w:space="0"/>
            </w:tcBorders>
            <w:shd w:val="clear" w:color="auto" w:fill="auto"/>
            <w:vAlign w:val="center"/>
          </w:tcPr>
          <w:p w14:paraId="3CE733D4">
            <w:pPr>
              <w:pStyle w:val="16"/>
              <w:spacing w:line="580" w:lineRule="exact"/>
              <w:rPr>
                <w:sz w:val="32"/>
                <w:szCs w:val="32"/>
              </w:rPr>
            </w:pPr>
            <w:r>
              <w:rPr>
                <w:rFonts w:hint="eastAsia"/>
                <w:sz w:val="32"/>
                <w:szCs w:val="32"/>
              </w:rPr>
              <w:t>主营（产）：</w:t>
            </w:r>
          </w:p>
        </w:tc>
      </w:tr>
      <w:tr w14:paraId="7B0010A3">
        <w:tblPrEx>
          <w:tblCellMar>
            <w:top w:w="0" w:type="dxa"/>
            <w:left w:w="0" w:type="dxa"/>
            <w:bottom w:w="0" w:type="dxa"/>
            <w:right w:w="0" w:type="dxa"/>
          </w:tblCellMar>
        </w:tblPrEx>
        <w:tc>
          <w:tcPr>
            <w:tcW w:w="8865" w:type="dxa"/>
            <w:gridSpan w:val="4"/>
            <w:tcBorders>
              <w:top w:val="single" w:color="333333" w:sz="6" w:space="0"/>
              <w:left w:val="single" w:color="333333" w:sz="6" w:space="0"/>
              <w:bottom w:val="single" w:color="333333" w:sz="6" w:space="0"/>
              <w:right w:val="single" w:color="333333" w:sz="6" w:space="0"/>
            </w:tcBorders>
            <w:shd w:val="clear" w:color="auto" w:fill="auto"/>
            <w:vAlign w:val="center"/>
          </w:tcPr>
          <w:p w14:paraId="46992696">
            <w:pPr>
              <w:pStyle w:val="16"/>
              <w:spacing w:line="580" w:lineRule="exact"/>
              <w:rPr>
                <w:sz w:val="32"/>
                <w:szCs w:val="32"/>
              </w:rPr>
            </w:pPr>
            <w:r>
              <w:rPr>
                <w:rFonts w:hint="eastAsia"/>
                <w:sz w:val="32"/>
                <w:szCs w:val="32"/>
              </w:rPr>
              <w:t>兼营（产）：</w:t>
            </w:r>
          </w:p>
        </w:tc>
      </w:tr>
    </w:tbl>
    <w:p w14:paraId="4718A24E">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说明：</w:t>
      </w:r>
    </w:p>
    <w:p w14:paraId="13A216D6">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1.法定代表人为企业事业单位、国家机关、社会团体的主要行政负责人。</w:t>
      </w:r>
    </w:p>
    <w:p w14:paraId="5C08FD5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2.内容必须填写真实、清楚、涂改无效，不得转让、买卖。</w:t>
      </w:r>
    </w:p>
    <w:p w14:paraId="44229792">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3.将此证明书提交对方作为合同附件。</w:t>
      </w:r>
    </w:p>
    <w:p w14:paraId="50A72F6C">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（为确保比选文件的真实有效，请参与机构务必提供附件）</w:t>
      </w:r>
    </w:p>
    <w:p w14:paraId="5BFC6E5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（二）法定代表人授权委托书</w:t>
      </w:r>
      <w:r>
        <w:rPr>
          <w:rFonts w:ascii="Calibri" w:hAnsi="Calibri" w:eastAsia="黑体" w:cs="Calibri"/>
          <w:sz w:val="32"/>
          <w:szCs w:val="32"/>
        </w:rPr>
        <w:t> </w:t>
      </w:r>
    </w:p>
    <w:p w14:paraId="1418F9CB">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致武汉高科国有控股集团有限公司：</w:t>
      </w:r>
    </w:p>
    <w:p w14:paraId="3CF7E5E9">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兹授权_________同志，为我司签订经济合同及办理其他事务代理人，其权限是：全权代表本公司参与_________项目的比选，负责提供与签署确认一切文书资料，以及向贵司递交的任何补充承诺。</w:t>
      </w:r>
    </w:p>
    <w:tbl>
      <w:tblPr>
        <w:tblStyle w:val="18"/>
        <w:tblW w:w="0" w:type="auto"/>
        <w:tblInd w:w="0" w:type="dxa"/>
        <w:tblLayout w:type="autofit"/>
        <w:tblCellMar>
          <w:top w:w="0" w:type="dxa"/>
          <w:left w:w="0" w:type="dxa"/>
          <w:bottom w:w="0" w:type="dxa"/>
          <w:right w:w="0" w:type="dxa"/>
        </w:tblCellMar>
      </w:tblPr>
      <w:tblGrid>
        <w:gridCol w:w="2947"/>
        <w:gridCol w:w="984"/>
        <w:gridCol w:w="825"/>
        <w:gridCol w:w="3558"/>
      </w:tblGrid>
      <w:tr w14:paraId="2FCF8FF2">
        <w:tblPrEx>
          <w:tblCellMar>
            <w:top w:w="0" w:type="dxa"/>
            <w:left w:w="0" w:type="dxa"/>
            <w:bottom w:w="0" w:type="dxa"/>
            <w:right w:w="0" w:type="dxa"/>
          </w:tblCellMar>
        </w:tblPrEx>
        <w:tc>
          <w:tcPr>
            <w:tcW w:w="4215" w:type="dxa"/>
            <w:gridSpan w:val="2"/>
            <w:tcBorders>
              <w:top w:val="single" w:color="333333" w:sz="6" w:space="0"/>
              <w:left w:val="single" w:color="333333" w:sz="6" w:space="0"/>
              <w:bottom w:val="single" w:color="333333" w:sz="6" w:space="0"/>
              <w:right w:val="single" w:color="333333" w:sz="6" w:space="0"/>
            </w:tcBorders>
            <w:shd w:val="clear" w:color="auto" w:fill="auto"/>
            <w:vAlign w:val="center"/>
          </w:tcPr>
          <w:p w14:paraId="2456710B">
            <w:pPr>
              <w:pStyle w:val="16"/>
              <w:spacing w:line="580" w:lineRule="exact"/>
              <w:rPr>
                <w:sz w:val="32"/>
                <w:szCs w:val="32"/>
              </w:rPr>
            </w:pPr>
            <w:r>
              <w:rPr>
                <w:rFonts w:hint="eastAsia"/>
                <w:sz w:val="32"/>
                <w:szCs w:val="32"/>
              </w:rPr>
              <w:t>授权单位：（盖章）</w:t>
            </w:r>
          </w:p>
        </w:tc>
        <w:tc>
          <w:tcPr>
            <w:tcW w:w="4740" w:type="dxa"/>
            <w:gridSpan w:val="2"/>
            <w:tcBorders>
              <w:top w:val="single" w:color="333333" w:sz="6" w:space="0"/>
              <w:left w:val="single" w:color="333333" w:sz="6" w:space="0"/>
              <w:bottom w:val="single" w:color="333333" w:sz="6" w:space="0"/>
              <w:right w:val="single" w:color="333333" w:sz="6" w:space="0"/>
            </w:tcBorders>
            <w:shd w:val="clear" w:color="auto" w:fill="auto"/>
            <w:vAlign w:val="center"/>
          </w:tcPr>
          <w:p w14:paraId="58E71F9F">
            <w:pPr>
              <w:pStyle w:val="16"/>
              <w:spacing w:line="580" w:lineRule="exact"/>
              <w:rPr>
                <w:sz w:val="32"/>
                <w:szCs w:val="32"/>
              </w:rPr>
            </w:pPr>
            <w:r>
              <w:rPr>
                <w:rFonts w:hint="eastAsia"/>
                <w:sz w:val="32"/>
                <w:szCs w:val="32"/>
              </w:rPr>
              <w:t>法定代表人：（签名或盖法人章）</w:t>
            </w:r>
          </w:p>
        </w:tc>
      </w:tr>
      <w:tr w14:paraId="6AB1018B">
        <w:tblPrEx>
          <w:tblCellMar>
            <w:top w:w="0" w:type="dxa"/>
            <w:left w:w="0" w:type="dxa"/>
            <w:bottom w:w="0" w:type="dxa"/>
            <w:right w:w="0" w:type="dxa"/>
          </w:tblCellMar>
        </w:tblPrEx>
        <w:tc>
          <w:tcPr>
            <w:tcW w:w="4215" w:type="dxa"/>
            <w:gridSpan w:val="2"/>
            <w:tcBorders>
              <w:top w:val="single" w:color="333333" w:sz="6" w:space="0"/>
              <w:left w:val="single" w:color="333333" w:sz="6" w:space="0"/>
              <w:bottom w:val="single" w:color="333333" w:sz="6" w:space="0"/>
              <w:right w:val="single" w:color="333333" w:sz="6" w:space="0"/>
            </w:tcBorders>
            <w:shd w:val="clear" w:color="auto" w:fill="auto"/>
            <w:vAlign w:val="center"/>
          </w:tcPr>
          <w:p w14:paraId="700A317A">
            <w:pPr>
              <w:pStyle w:val="16"/>
              <w:spacing w:line="580" w:lineRule="exact"/>
              <w:rPr>
                <w:sz w:val="32"/>
                <w:szCs w:val="32"/>
              </w:rPr>
            </w:pPr>
            <w:r>
              <w:rPr>
                <w:rFonts w:hint="eastAsia"/>
                <w:sz w:val="32"/>
                <w:szCs w:val="32"/>
              </w:rPr>
              <w:t>有效期限：</w:t>
            </w:r>
          </w:p>
        </w:tc>
        <w:tc>
          <w:tcPr>
            <w:tcW w:w="4740" w:type="dxa"/>
            <w:gridSpan w:val="2"/>
            <w:tcBorders>
              <w:top w:val="single" w:color="333333" w:sz="6" w:space="0"/>
              <w:left w:val="single" w:color="333333" w:sz="6" w:space="0"/>
              <w:bottom w:val="single" w:color="333333" w:sz="6" w:space="0"/>
              <w:right w:val="single" w:color="333333" w:sz="6" w:space="0"/>
            </w:tcBorders>
            <w:shd w:val="clear" w:color="auto" w:fill="auto"/>
            <w:vAlign w:val="center"/>
          </w:tcPr>
          <w:p w14:paraId="32CFBC48">
            <w:pPr>
              <w:pStyle w:val="16"/>
              <w:spacing w:line="580" w:lineRule="exact"/>
              <w:rPr>
                <w:sz w:val="32"/>
                <w:szCs w:val="32"/>
              </w:rPr>
            </w:pPr>
            <w:r>
              <w:rPr>
                <w:rFonts w:hint="eastAsia"/>
                <w:sz w:val="32"/>
                <w:szCs w:val="32"/>
              </w:rPr>
              <w:t>签发日期：</w:t>
            </w:r>
          </w:p>
        </w:tc>
      </w:tr>
      <w:tr w14:paraId="7B1862E7">
        <w:tblPrEx>
          <w:tblCellMar>
            <w:top w:w="0" w:type="dxa"/>
            <w:left w:w="0" w:type="dxa"/>
            <w:bottom w:w="0" w:type="dxa"/>
            <w:right w:w="0" w:type="dxa"/>
          </w:tblCellMar>
        </w:tblPrEx>
        <w:tc>
          <w:tcPr>
            <w:tcW w:w="8955" w:type="dxa"/>
            <w:gridSpan w:val="4"/>
            <w:tcBorders>
              <w:top w:val="single" w:color="333333" w:sz="6" w:space="0"/>
              <w:left w:val="single" w:color="333333" w:sz="6" w:space="0"/>
              <w:bottom w:val="single" w:color="333333" w:sz="6" w:space="0"/>
              <w:right w:val="single" w:color="333333" w:sz="6" w:space="0"/>
            </w:tcBorders>
            <w:shd w:val="clear" w:color="auto" w:fill="auto"/>
            <w:vAlign w:val="center"/>
          </w:tcPr>
          <w:p w14:paraId="01E4EE1A">
            <w:pPr>
              <w:pStyle w:val="16"/>
              <w:spacing w:line="580" w:lineRule="exact"/>
              <w:rPr>
                <w:sz w:val="32"/>
                <w:szCs w:val="32"/>
              </w:rPr>
            </w:pPr>
            <w:r>
              <w:rPr>
                <w:rFonts w:hint="eastAsia"/>
                <w:sz w:val="32"/>
                <w:szCs w:val="32"/>
              </w:rPr>
              <w:t>附：</w:t>
            </w:r>
          </w:p>
        </w:tc>
      </w:tr>
      <w:tr w14:paraId="2B0088D9">
        <w:tblPrEx>
          <w:tblCellMar>
            <w:top w:w="0" w:type="dxa"/>
            <w:left w:w="0" w:type="dxa"/>
            <w:bottom w:w="0" w:type="dxa"/>
            <w:right w:w="0" w:type="dxa"/>
          </w:tblCellMar>
        </w:tblPrEx>
        <w:tc>
          <w:tcPr>
            <w:tcW w:w="3180" w:type="dxa"/>
            <w:tcBorders>
              <w:top w:val="single" w:color="333333" w:sz="6" w:space="0"/>
              <w:left w:val="single" w:color="333333" w:sz="6" w:space="0"/>
              <w:bottom w:val="single" w:color="333333" w:sz="6" w:space="0"/>
              <w:right w:val="single" w:color="333333" w:sz="6" w:space="0"/>
            </w:tcBorders>
            <w:shd w:val="clear" w:color="auto" w:fill="auto"/>
            <w:vAlign w:val="center"/>
          </w:tcPr>
          <w:p w14:paraId="5727E1EA">
            <w:pPr>
              <w:pStyle w:val="16"/>
              <w:spacing w:line="580" w:lineRule="exact"/>
              <w:rPr>
                <w:sz w:val="32"/>
                <w:szCs w:val="32"/>
              </w:rPr>
            </w:pPr>
            <w:r>
              <w:rPr>
                <w:rFonts w:hint="eastAsia"/>
                <w:sz w:val="32"/>
                <w:szCs w:val="32"/>
              </w:rPr>
              <w:t>代理人性别：</w:t>
            </w:r>
          </w:p>
        </w:tc>
        <w:tc>
          <w:tcPr>
            <w:tcW w:w="1920" w:type="dxa"/>
            <w:gridSpan w:val="2"/>
            <w:tcBorders>
              <w:top w:val="single" w:color="333333" w:sz="6" w:space="0"/>
              <w:left w:val="single" w:color="333333" w:sz="6" w:space="0"/>
              <w:bottom w:val="single" w:color="333333" w:sz="6" w:space="0"/>
              <w:right w:val="single" w:color="333333" w:sz="6" w:space="0"/>
            </w:tcBorders>
            <w:shd w:val="clear" w:color="auto" w:fill="auto"/>
            <w:vAlign w:val="center"/>
          </w:tcPr>
          <w:p w14:paraId="7F8C0F6D">
            <w:pPr>
              <w:pStyle w:val="16"/>
              <w:spacing w:line="580" w:lineRule="exact"/>
              <w:rPr>
                <w:sz w:val="32"/>
                <w:szCs w:val="32"/>
              </w:rPr>
            </w:pPr>
            <w:r>
              <w:rPr>
                <w:rFonts w:hint="eastAsia"/>
                <w:sz w:val="32"/>
                <w:szCs w:val="32"/>
              </w:rPr>
              <w:t>年龄：</w:t>
            </w:r>
          </w:p>
        </w:tc>
        <w:tc>
          <w:tcPr>
            <w:tcW w:w="3855" w:type="dxa"/>
            <w:tcBorders>
              <w:top w:val="single" w:color="333333" w:sz="6" w:space="0"/>
              <w:left w:val="single" w:color="333333" w:sz="6" w:space="0"/>
              <w:bottom w:val="single" w:color="333333" w:sz="6" w:space="0"/>
              <w:right w:val="single" w:color="333333" w:sz="6" w:space="0"/>
            </w:tcBorders>
            <w:shd w:val="clear" w:color="auto" w:fill="auto"/>
            <w:vAlign w:val="center"/>
          </w:tcPr>
          <w:p w14:paraId="3AC86A3B">
            <w:pPr>
              <w:pStyle w:val="16"/>
              <w:spacing w:line="580" w:lineRule="exact"/>
              <w:rPr>
                <w:sz w:val="32"/>
                <w:szCs w:val="32"/>
              </w:rPr>
            </w:pPr>
            <w:r>
              <w:rPr>
                <w:rFonts w:hint="eastAsia"/>
                <w:sz w:val="32"/>
                <w:szCs w:val="32"/>
              </w:rPr>
              <w:t>职务：</w:t>
            </w:r>
          </w:p>
        </w:tc>
      </w:tr>
      <w:tr w14:paraId="2B57B579">
        <w:tblPrEx>
          <w:tblCellMar>
            <w:top w:w="0" w:type="dxa"/>
            <w:left w:w="0" w:type="dxa"/>
            <w:bottom w:w="0" w:type="dxa"/>
            <w:right w:w="0" w:type="dxa"/>
          </w:tblCellMar>
        </w:tblPrEx>
        <w:tc>
          <w:tcPr>
            <w:tcW w:w="5100" w:type="dxa"/>
            <w:gridSpan w:val="3"/>
            <w:tcBorders>
              <w:top w:val="single" w:color="333333" w:sz="6" w:space="0"/>
              <w:left w:val="single" w:color="333333" w:sz="6" w:space="0"/>
              <w:bottom w:val="single" w:color="333333" w:sz="6" w:space="0"/>
              <w:right w:val="single" w:color="333333" w:sz="6" w:space="0"/>
            </w:tcBorders>
            <w:shd w:val="clear" w:color="auto" w:fill="auto"/>
            <w:vAlign w:val="center"/>
          </w:tcPr>
          <w:p w14:paraId="7159B92D">
            <w:pPr>
              <w:pStyle w:val="16"/>
              <w:spacing w:line="580" w:lineRule="exact"/>
              <w:rPr>
                <w:sz w:val="32"/>
                <w:szCs w:val="32"/>
              </w:rPr>
            </w:pPr>
            <w:r>
              <w:rPr>
                <w:rFonts w:hint="eastAsia"/>
                <w:sz w:val="32"/>
                <w:szCs w:val="32"/>
              </w:rPr>
              <w:t>身份证号码：</w:t>
            </w:r>
          </w:p>
        </w:tc>
        <w:tc>
          <w:tcPr>
            <w:tcW w:w="3855" w:type="dxa"/>
            <w:tcBorders>
              <w:top w:val="single" w:color="333333" w:sz="6" w:space="0"/>
              <w:left w:val="single" w:color="333333" w:sz="6" w:space="0"/>
              <w:bottom w:val="single" w:color="333333" w:sz="6" w:space="0"/>
              <w:right w:val="single" w:color="333333" w:sz="6" w:space="0"/>
            </w:tcBorders>
            <w:shd w:val="clear" w:color="auto" w:fill="auto"/>
            <w:vAlign w:val="center"/>
          </w:tcPr>
          <w:p w14:paraId="4A202C85">
            <w:pPr>
              <w:pStyle w:val="16"/>
              <w:spacing w:line="580" w:lineRule="exact"/>
              <w:rPr>
                <w:sz w:val="32"/>
                <w:szCs w:val="32"/>
              </w:rPr>
            </w:pPr>
            <w:r>
              <w:rPr>
                <w:rFonts w:hint="eastAsia"/>
                <w:sz w:val="32"/>
                <w:szCs w:val="32"/>
              </w:rPr>
              <w:t>联系电话：</w:t>
            </w:r>
          </w:p>
        </w:tc>
      </w:tr>
      <w:tr w14:paraId="1F2EEDF8">
        <w:tblPrEx>
          <w:tblCellMar>
            <w:top w:w="0" w:type="dxa"/>
            <w:left w:w="0" w:type="dxa"/>
            <w:bottom w:w="0" w:type="dxa"/>
            <w:right w:w="0" w:type="dxa"/>
          </w:tblCellMar>
        </w:tblPrEx>
        <w:tc>
          <w:tcPr>
            <w:tcW w:w="5100" w:type="dxa"/>
            <w:gridSpan w:val="3"/>
            <w:tcBorders>
              <w:top w:val="single" w:color="333333" w:sz="6" w:space="0"/>
              <w:left w:val="single" w:color="333333" w:sz="6" w:space="0"/>
              <w:bottom w:val="single" w:color="333333" w:sz="6" w:space="0"/>
              <w:right w:val="single" w:color="333333" w:sz="6" w:space="0"/>
            </w:tcBorders>
            <w:shd w:val="clear" w:color="auto" w:fill="auto"/>
            <w:vAlign w:val="center"/>
          </w:tcPr>
          <w:p w14:paraId="6203F43B">
            <w:pPr>
              <w:pStyle w:val="16"/>
              <w:spacing w:line="580" w:lineRule="exact"/>
              <w:rPr>
                <w:sz w:val="32"/>
                <w:szCs w:val="32"/>
              </w:rPr>
            </w:pPr>
            <w:r>
              <w:rPr>
                <w:rFonts w:hint="eastAsia"/>
                <w:sz w:val="32"/>
                <w:szCs w:val="32"/>
              </w:rPr>
              <w:t>营业执照号码：</w:t>
            </w:r>
          </w:p>
        </w:tc>
        <w:tc>
          <w:tcPr>
            <w:tcW w:w="3855" w:type="dxa"/>
            <w:tcBorders>
              <w:top w:val="single" w:color="333333" w:sz="6" w:space="0"/>
              <w:left w:val="single" w:color="333333" w:sz="6" w:space="0"/>
              <w:bottom w:val="single" w:color="333333" w:sz="6" w:space="0"/>
              <w:right w:val="single" w:color="333333" w:sz="6" w:space="0"/>
            </w:tcBorders>
            <w:shd w:val="clear" w:color="auto" w:fill="auto"/>
            <w:vAlign w:val="center"/>
          </w:tcPr>
          <w:p w14:paraId="7CD85CAD">
            <w:pPr>
              <w:pStyle w:val="16"/>
              <w:spacing w:line="580" w:lineRule="exact"/>
              <w:rPr>
                <w:sz w:val="32"/>
                <w:szCs w:val="32"/>
              </w:rPr>
            </w:pPr>
            <w:r>
              <w:rPr>
                <w:rFonts w:hint="eastAsia"/>
                <w:sz w:val="32"/>
                <w:szCs w:val="32"/>
              </w:rPr>
              <w:t>经济性质：</w:t>
            </w:r>
          </w:p>
        </w:tc>
      </w:tr>
      <w:tr w14:paraId="7A445DDF">
        <w:tblPrEx>
          <w:tblCellMar>
            <w:top w:w="0" w:type="dxa"/>
            <w:left w:w="0" w:type="dxa"/>
            <w:bottom w:w="0" w:type="dxa"/>
            <w:right w:w="0" w:type="dxa"/>
          </w:tblCellMar>
        </w:tblPrEx>
        <w:tc>
          <w:tcPr>
            <w:tcW w:w="8955" w:type="dxa"/>
            <w:gridSpan w:val="4"/>
            <w:tcBorders>
              <w:top w:val="single" w:color="333333" w:sz="6" w:space="0"/>
              <w:left w:val="single" w:color="333333" w:sz="6" w:space="0"/>
              <w:bottom w:val="single" w:color="333333" w:sz="6" w:space="0"/>
              <w:right w:val="single" w:color="333333" w:sz="6" w:space="0"/>
            </w:tcBorders>
            <w:shd w:val="clear" w:color="auto" w:fill="auto"/>
            <w:vAlign w:val="center"/>
          </w:tcPr>
          <w:p w14:paraId="1F7CBBDC">
            <w:pPr>
              <w:pStyle w:val="16"/>
              <w:spacing w:line="580" w:lineRule="exact"/>
              <w:rPr>
                <w:sz w:val="32"/>
                <w:szCs w:val="32"/>
              </w:rPr>
            </w:pPr>
            <w:r>
              <w:rPr>
                <w:rFonts w:hint="eastAsia"/>
                <w:sz w:val="32"/>
                <w:szCs w:val="32"/>
              </w:rPr>
              <w:t>主营（产）：</w:t>
            </w:r>
          </w:p>
        </w:tc>
      </w:tr>
      <w:tr w14:paraId="573304DE">
        <w:tblPrEx>
          <w:tblCellMar>
            <w:top w:w="0" w:type="dxa"/>
            <w:left w:w="0" w:type="dxa"/>
            <w:bottom w:w="0" w:type="dxa"/>
            <w:right w:w="0" w:type="dxa"/>
          </w:tblCellMar>
        </w:tblPrEx>
        <w:tc>
          <w:tcPr>
            <w:tcW w:w="8955" w:type="dxa"/>
            <w:gridSpan w:val="4"/>
            <w:tcBorders>
              <w:top w:val="single" w:color="333333" w:sz="6" w:space="0"/>
              <w:left w:val="single" w:color="333333" w:sz="6" w:space="0"/>
              <w:bottom w:val="single" w:color="333333" w:sz="6" w:space="0"/>
              <w:right w:val="single" w:color="333333" w:sz="6" w:space="0"/>
            </w:tcBorders>
            <w:shd w:val="clear" w:color="auto" w:fill="auto"/>
            <w:vAlign w:val="center"/>
          </w:tcPr>
          <w:p w14:paraId="4864FE3F">
            <w:pPr>
              <w:pStyle w:val="16"/>
              <w:spacing w:line="580" w:lineRule="exact"/>
              <w:rPr>
                <w:sz w:val="32"/>
                <w:szCs w:val="32"/>
              </w:rPr>
            </w:pPr>
            <w:r>
              <w:rPr>
                <w:rFonts w:hint="eastAsia"/>
                <w:sz w:val="32"/>
                <w:szCs w:val="32"/>
              </w:rPr>
              <w:t>兼营（产）：</w:t>
            </w:r>
          </w:p>
        </w:tc>
      </w:tr>
    </w:tbl>
    <w:p w14:paraId="2C94A85B">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说明：</w:t>
      </w:r>
    </w:p>
    <w:p w14:paraId="621DCD39">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1.法定代表人为企业事业单位、国家机关、社会团体的主要行政负责人。</w:t>
      </w:r>
    </w:p>
    <w:p w14:paraId="14E0598A">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2.内容必须填写真实、清楚、涂改无效，不得转让、买卖。</w:t>
      </w:r>
    </w:p>
    <w:p w14:paraId="6A37A936">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3.将此证明书提交对方作为合同附件。</w:t>
      </w:r>
    </w:p>
    <w:p w14:paraId="5322EF3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4.授权权限：全权代表本公司参与上述项目的比选响应，负责提供与签署确认一切文书资料，以及向贵司递交的任何补充承诺。</w:t>
      </w:r>
    </w:p>
    <w:p w14:paraId="1405C9E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5.有效期限：应至少覆盖本公司比选文件中标注的比选有效期，自本单位盖公章之日起生效。</w:t>
      </w:r>
    </w:p>
    <w:p w14:paraId="3DC59529">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6.比选文件签字代表为法定代表人，则本表不适用。</w:t>
      </w:r>
    </w:p>
    <w:p w14:paraId="7BB63B86">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四、关于资格的声明函格式</w:t>
      </w:r>
    </w:p>
    <w:p w14:paraId="12000C87">
      <w:pPr>
        <w:pStyle w:val="16"/>
        <w:spacing w:line="580" w:lineRule="exact"/>
        <w:jc w:val="center"/>
        <w:rPr>
          <w:b/>
          <w:sz w:val="32"/>
          <w:szCs w:val="32"/>
        </w:rPr>
      </w:pPr>
      <w:r>
        <w:rPr>
          <w:rFonts w:hint="eastAsia"/>
          <w:b/>
          <w:sz w:val="32"/>
          <w:szCs w:val="32"/>
        </w:rPr>
        <w:t>资格的声明函</w:t>
      </w:r>
    </w:p>
    <w:p w14:paraId="6577FD47">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致武汉高科国有控股集团有限公司：</w:t>
      </w:r>
    </w:p>
    <w:p w14:paraId="4326A84B">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关于贵司（项目名称）的比选，本公司愿意提交比选文件，并保证提交的下列文件和说明的准确性和真实性。</w:t>
      </w:r>
    </w:p>
    <w:p w14:paraId="3047CFD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1.有效的营业执照副本/事业单位法人证书副本、税务登记证副本（国税、地税）、组织机构代码证副本（复印件加盖公章）；（如三证合一营业执照，只需提供有效的营业执照副本复印件加盖公章）；</w:t>
      </w:r>
    </w:p>
    <w:p w14:paraId="7D425102">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2.有关业务资质或许可，如承销资质等（复印件加盖公章）；</w:t>
      </w:r>
    </w:p>
    <w:p w14:paraId="12505BAF">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3.最近连续三年成功承销过相关产品的证明文件（加盖公章）；</w:t>
      </w:r>
    </w:p>
    <w:p w14:paraId="3283D22D">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4.近三年内，在债券承销业务中没有重大违法记录承诺函（原件）。</w:t>
      </w:r>
    </w:p>
    <w:p w14:paraId="3D41F0C4">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（相关证明文件附后）</w:t>
      </w:r>
    </w:p>
    <w:p w14:paraId="3CF7FD85">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本公司保证全部比选文件和问题的回答是真实和有效的，并对所提供资料的真实性负责。</w:t>
      </w:r>
    </w:p>
    <w:p w14:paraId="1125612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参与机构（法定代表人或授权代表）签字：_________________</w:t>
      </w:r>
    </w:p>
    <w:p w14:paraId="2C8028AE">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参与机构名称（签章）：_________________</w:t>
      </w:r>
    </w:p>
    <w:p w14:paraId="78E1FDC8">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日期：______年___月___日</w:t>
      </w:r>
    </w:p>
    <w:p w14:paraId="08C5FF4B">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黑体" w:hAnsi="黑体" w:eastAsia="黑体"/>
          <w:sz w:val="32"/>
          <w:szCs w:val="32"/>
        </w:rPr>
      </w:pPr>
      <w:r>
        <w:rPr>
          <w:rFonts w:hint="eastAsia" w:ascii="黑体" w:hAnsi="黑体" w:eastAsia="黑体"/>
          <w:sz w:val="32"/>
          <w:szCs w:val="32"/>
        </w:rPr>
        <w:t>五、报价一览表格式</w:t>
      </w:r>
    </w:p>
    <w:p w14:paraId="530DA180">
      <w:pPr>
        <w:pStyle w:val="16"/>
        <w:spacing w:line="580" w:lineRule="exact"/>
        <w:jc w:val="center"/>
        <w:rPr>
          <w:b/>
          <w:sz w:val="32"/>
          <w:szCs w:val="32"/>
        </w:rPr>
      </w:pPr>
      <w:r>
        <w:rPr>
          <w:rFonts w:hint="eastAsia"/>
          <w:b/>
          <w:sz w:val="32"/>
          <w:szCs w:val="32"/>
        </w:rPr>
        <w:t>报价一览表</w:t>
      </w:r>
    </w:p>
    <w:tbl>
      <w:tblPr>
        <w:tblStyle w:val="18"/>
        <w:tblW w:w="0" w:type="auto"/>
        <w:tblInd w:w="0" w:type="dxa"/>
        <w:tblBorders>
          <w:top w:val="single" w:color="333333" w:sz="6" w:space="0"/>
          <w:left w:val="single" w:color="333333" w:sz="6" w:space="0"/>
          <w:bottom w:val="single" w:color="auto" w:sz="4" w:space="0"/>
          <w:right w:val="single" w:color="333333" w:sz="6" w:space="0"/>
          <w:insideH w:val="single" w:color="333333" w:sz="6" w:space="0"/>
          <w:insideV w:val="single" w:color="333333" w:sz="6" w:space="0"/>
        </w:tblBorders>
        <w:tblLayout w:type="autofit"/>
        <w:tblCellMar>
          <w:top w:w="0" w:type="dxa"/>
          <w:left w:w="0" w:type="dxa"/>
          <w:bottom w:w="0" w:type="dxa"/>
          <w:right w:w="0" w:type="dxa"/>
        </w:tblCellMar>
      </w:tblPr>
      <w:tblGrid>
        <w:gridCol w:w="3225"/>
        <w:gridCol w:w="3495"/>
        <w:gridCol w:w="1545"/>
      </w:tblGrid>
      <w:tr w14:paraId="646F9D95">
        <w:tblPrEx>
          <w:tblBorders>
            <w:top w:val="single" w:color="333333" w:sz="6" w:space="0"/>
            <w:left w:val="single" w:color="333333" w:sz="6" w:space="0"/>
            <w:bottom w:val="single" w:color="auto" w:sz="4" w:space="0"/>
            <w:right w:val="single" w:color="333333" w:sz="6" w:space="0"/>
            <w:insideH w:val="single" w:color="333333" w:sz="6" w:space="0"/>
            <w:insideV w:val="single" w:color="333333" w:sz="6" w:space="0"/>
          </w:tblBorders>
          <w:tblCellMar>
            <w:top w:w="0" w:type="dxa"/>
            <w:left w:w="0" w:type="dxa"/>
            <w:bottom w:w="0" w:type="dxa"/>
            <w:right w:w="0" w:type="dxa"/>
          </w:tblCellMar>
        </w:tblPrEx>
        <w:tc>
          <w:tcPr>
            <w:tcW w:w="3225" w:type="dxa"/>
            <w:shd w:val="clear" w:color="auto" w:fill="auto"/>
            <w:vAlign w:val="center"/>
          </w:tcPr>
          <w:p w14:paraId="57740FF5">
            <w:pPr>
              <w:pStyle w:val="16"/>
              <w:spacing w:line="580" w:lineRule="exact"/>
              <w:ind w:left="0" w:leftChars="0" w:firstLine="0" w:firstLineChars="0"/>
              <w:jc w:val="center"/>
              <w:rPr>
                <w:sz w:val="32"/>
                <w:szCs w:val="32"/>
              </w:rPr>
            </w:pPr>
            <w:r>
              <w:rPr>
                <w:rFonts w:hint="eastAsia"/>
                <w:sz w:val="32"/>
                <w:szCs w:val="32"/>
              </w:rPr>
              <w:t>项目名称</w:t>
            </w:r>
          </w:p>
        </w:tc>
        <w:tc>
          <w:tcPr>
            <w:tcW w:w="3495" w:type="dxa"/>
            <w:shd w:val="clear" w:color="auto" w:fill="auto"/>
            <w:vAlign w:val="center"/>
          </w:tcPr>
          <w:p w14:paraId="21E0664A">
            <w:pPr>
              <w:pStyle w:val="16"/>
              <w:spacing w:line="580" w:lineRule="exact"/>
              <w:ind w:left="0" w:leftChars="0" w:firstLine="0" w:firstLineChars="0"/>
              <w:jc w:val="center"/>
              <w:rPr>
                <w:sz w:val="32"/>
                <w:szCs w:val="32"/>
              </w:rPr>
            </w:pPr>
            <w:bookmarkStart w:id="0" w:name="_GoBack"/>
            <w:bookmarkEnd w:id="0"/>
            <w:r>
              <w:rPr>
                <w:rFonts w:hint="eastAsia"/>
                <w:sz w:val="32"/>
                <w:szCs w:val="32"/>
              </w:rPr>
              <w:t>年化承销费率（%）</w:t>
            </w:r>
          </w:p>
        </w:tc>
        <w:tc>
          <w:tcPr>
            <w:tcW w:w="1545" w:type="dxa"/>
            <w:shd w:val="clear" w:color="auto" w:fill="auto"/>
            <w:vAlign w:val="center"/>
          </w:tcPr>
          <w:p w14:paraId="172001B4">
            <w:pPr>
              <w:pStyle w:val="16"/>
              <w:spacing w:line="580" w:lineRule="exact"/>
              <w:ind w:left="0" w:leftChars="0" w:firstLine="0" w:firstLineChars="0"/>
              <w:jc w:val="center"/>
              <w:rPr>
                <w:sz w:val="32"/>
                <w:szCs w:val="32"/>
              </w:rPr>
            </w:pPr>
            <w:r>
              <w:rPr>
                <w:rFonts w:hint="eastAsia"/>
                <w:sz w:val="32"/>
                <w:szCs w:val="32"/>
              </w:rPr>
              <w:t>是否接受备注中的调整内容</w:t>
            </w:r>
          </w:p>
        </w:tc>
      </w:tr>
      <w:tr w14:paraId="695DC79C">
        <w:tblPrEx>
          <w:tblBorders>
            <w:top w:val="single" w:color="333333" w:sz="6" w:space="0"/>
            <w:left w:val="single" w:color="333333" w:sz="6" w:space="0"/>
            <w:bottom w:val="single" w:color="auto" w:sz="4" w:space="0"/>
            <w:right w:val="single" w:color="333333" w:sz="6" w:space="0"/>
            <w:insideH w:val="single" w:color="333333" w:sz="6" w:space="0"/>
            <w:insideV w:val="single" w:color="333333" w:sz="6" w:space="0"/>
          </w:tblBorders>
          <w:tblCellMar>
            <w:top w:w="0" w:type="dxa"/>
            <w:left w:w="0" w:type="dxa"/>
            <w:bottom w:w="0" w:type="dxa"/>
            <w:right w:w="0" w:type="dxa"/>
          </w:tblCellMar>
        </w:tblPrEx>
        <w:trPr>
          <w:trHeight w:val="1089" w:hRule="atLeast"/>
        </w:trPr>
        <w:tc>
          <w:tcPr>
            <w:tcW w:w="3225" w:type="dxa"/>
            <w:shd w:val="clear" w:color="auto" w:fill="auto"/>
            <w:vAlign w:val="center"/>
          </w:tcPr>
          <w:p w14:paraId="1D5D0094">
            <w:pPr>
              <w:pStyle w:val="16"/>
              <w:spacing w:line="580" w:lineRule="exact"/>
              <w:rPr>
                <w:sz w:val="32"/>
                <w:szCs w:val="32"/>
              </w:rPr>
            </w:pPr>
          </w:p>
        </w:tc>
        <w:tc>
          <w:tcPr>
            <w:tcW w:w="3495" w:type="dxa"/>
            <w:shd w:val="clear" w:color="auto" w:fill="auto"/>
            <w:vAlign w:val="center"/>
          </w:tcPr>
          <w:p w14:paraId="31F1D792">
            <w:pPr>
              <w:pStyle w:val="16"/>
              <w:spacing w:line="580" w:lineRule="exact"/>
              <w:rPr>
                <w:sz w:val="32"/>
                <w:szCs w:val="32"/>
              </w:rPr>
            </w:pPr>
            <w:r>
              <w:rPr>
                <w:rFonts w:hint="eastAsia"/>
                <w:sz w:val="32"/>
                <w:szCs w:val="32"/>
              </w:rPr>
              <w:t> </w:t>
            </w:r>
          </w:p>
          <w:p w14:paraId="6A8CE2E3">
            <w:pPr>
              <w:pStyle w:val="16"/>
              <w:spacing w:line="580" w:lineRule="exact"/>
              <w:rPr>
                <w:sz w:val="32"/>
                <w:szCs w:val="32"/>
              </w:rPr>
            </w:pPr>
            <w:r>
              <w:rPr>
                <w:rFonts w:hint="eastAsia"/>
                <w:sz w:val="32"/>
                <w:szCs w:val="32"/>
              </w:rPr>
              <w:t> </w:t>
            </w:r>
          </w:p>
        </w:tc>
        <w:tc>
          <w:tcPr>
            <w:tcW w:w="1545" w:type="dxa"/>
            <w:shd w:val="clear" w:color="auto" w:fill="auto"/>
            <w:vAlign w:val="center"/>
          </w:tcPr>
          <w:p w14:paraId="4450597F">
            <w:pPr>
              <w:pStyle w:val="16"/>
              <w:spacing w:line="580" w:lineRule="exact"/>
              <w:rPr>
                <w:sz w:val="32"/>
                <w:szCs w:val="32"/>
              </w:rPr>
            </w:pPr>
            <w:r>
              <w:rPr>
                <w:rFonts w:hint="eastAsia"/>
                <w:sz w:val="32"/>
                <w:szCs w:val="32"/>
              </w:rPr>
              <w:t>□是</w:t>
            </w:r>
          </w:p>
          <w:p w14:paraId="312AC726">
            <w:pPr>
              <w:pStyle w:val="16"/>
              <w:spacing w:line="580" w:lineRule="exact"/>
              <w:rPr>
                <w:sz w:val="32"/>
                <w:szCs w:val="32"/>
              </w:rPr>
            </w:pPr>
            <w:r>
              <w:rPr>
                <w:rFonts w:hint="eastAsia"/>
                <w:sz w:val="32"/>
                <w:szCs w:val="32"/>
              </w:rPr>
              <w:t>□否</w:t>
            </w:r>
          </w:p>
        </w:tc>
      </w:tr>
    </w:tbl>
    <w:p w14:paraId="44F6D5F6">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备注：</w:t>
      </w:r>
    </w:p>
    <w:p w14:paraId="1DF00B91">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1.参与机构须明确是否无条件接受在债券成功发行后，发行人根据各承销商的综合贡献度进行以下调整：</w:t>
      </w:r>
    </w:p>
    <w:p w14:paraId="41C55FC2">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（1）对承销费率的调整；</w:t>
      </w:r>
    </w:p>
    <w:p w14:paraId="70BC09E3">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（2）对每期债券发行承销费的比例分配调整；</w:t>
      </w:r>
    </w:p>
    <w:p w14:paraId="13BDFCAB">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2.参与机构须按要求填写所有信息，根据不同的品种提供相应报价，报价保留三位小数。</w:t>
      </w:r>
    </w:p>
    <w:p w14:paraId="4DA226EE">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3.此表是比选文件的必要文件，是比选文件的重要组成部分。</w:t>
      </w:r>
    </w:p>
    <w:p w14:paraId="62D50B37">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参与机构（法定代表人或授权代表）签字：_________________</w:t>
      </w:r>
    </w:p>
    <w:p w14:paraId="58C49245">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sz w:val="32"/>
          <w:szCs w:val="32"/>
        </w:rPr>
      </w:pPr>
      <w:r>
        <w:rPr>
          <w:rFonts w:hint="eastAsia"/>
          <w:sz w:val="32"/>
          <w:szCs w:val="32"/>
        </w:rPr>
        <w:t>参与机构名称（签章）：_________________</w:t>
      </w:r>
    </w:p>
    <w:p w14:paraId="55DB3DFC">
      <w:pPr>
        <w:pStyle w:val="16"/>
        <w:keepNext w:val="0"/>
        <w:keepLines w:val="0"/>
        <w:pageBreakBefore w:val="0"/>
        <w:widowControl/>
        <w:kinsoku/>
        <w:wordWrap/>
        <w:overflowPunct/>
        <w:topLinePunct w:val="0"/>
        <w:autoSpaceDE/>
        <w:autoSpaceDN/>
        <w:bidi w:val="0"/>
        <w:adjustRightInd w:val="0"/>
        <w:snapToGrid w:val="0"/>
        <w:spacing w:line="580" w:lineRule="exact"/>
        <w:ind w:left="0" w:leftChars="0" w:firstLine="640" w:firstLineChars="200"/>
        <w:textAlignment w:val="baseline"/>
        <w:rPr>
          <w:rFonts w:ascii="仿宋_GB2312" w:hAnsi="Times New Roman" w:eastAsia="仿宋_GB2312" w:cs="Times New Roman"/>
          <w:sz w:val="32"/>
          <w:szCs w:val="32"/>
        </w:rPr>
      </w:pPr>
      <w:r>
        <w:rPr>
          <w:rFonts w:hint="eastAsia"/>
          <w:sz w:val="32"/>
          <w:szCs w:val="32"/>
        </w:rPr>
        <w:t>日期：______年___月___日</w:t>
      </w: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31">
      <wne:acd wne:acdName="acd0"/>
    </wne:keymap>
    <wne:keymap wne:kcmPrimary="0232">
      <wne:acd wne:acdName="acd1"/>
    </wne:keymap>
    <wne:keymap wne:kcmPrimary="0233">
      <wne:acd wne:acdName="acd2"/>
    </wne:keymap>
    <wne:keymap wne:kcmPrimary="0234">
      <wne:acd wne:acdName="acd3"/>
    </wne:keymap>
    <wne:keymap wne:kcmPrimary="0235">
      <wne:acd wne:acdName="acd4"/>
    </wne:keymap>
    <wne:keymap wne:kcmPrimary="0236">
      <wne:acd wne:acdName="acd5"/>
    </wne:keymap>
    <wne:keymap wne:kcmPrimary="0237">
      <wne:acd wne:acdName="acd6"/>
    </wne:keymap>
    <wne:keymap wne:kcmPrimary="0238">
      <wne:acd wne:acdName="acd7"/>
    </wne:keymap>
    <wne:keymap wne:kcmPrimary="0239">
      <wne:acd wne:acdName="acd8"/>
    </wne:keymap>
    <wne:keymap wne:kcmPrimary="02C0">
      <wne:acd wne:acdName="acd9"/>
    </wne:keymap>
    <wne:keymap wne:kcmPrimary="0553">
      <wne:acd wne:acdName="acd10"/>
    </wne:keymap>
    <wne:keymap wne:kcmPrimary="055A">
      <wne:acd wne:acdName="acd11"/>
    </wne:keymap>
  </wne:keymaps>
  <wne:toolbars>
    <wne:toolbarData r:id="rId1"/>
  </wne:toolbars>
  <wne:acds>
    <wne:acd wne:argValue="AQAAAAEA" wne:acdName="acd0" wne:fciIndexBasedOn="0065"/>
    <wne:acd wne:argValue="AQAAAAIA" wne:acdName="acd1" wne:fciIndexBasedOn="0065"/>
    <wne:acd wne:argValue="AQAAAAMA" wne:acdName="acd2" wne:fciIndexBasedOn="0065"/>
    <wne:acd wne:argValue="AQAAAAQA" wne:acdName="acd3" wne:fciIndexBasedOn="0065"/>
    <wne:acd wne:argValue="AQAAAAUA" wne:acdName="acd4" wne:fciIndexBasedOn="0065"/>
    <wne:acd wne:argValue="AQAAAAYA" wne:acdName="acd5" wne:fciIndexBasedOn="0065"/>
    <wne:acd wne:argValue="AQAAAAcA" wne:acdName="acd6" wne:fciIndexBasedOn="0065"/>
    <wne:acd wne:argValue="AgBoiDxoTVJVU01P" wne:acdName="acd7" wne:fciIndexBasedOn="0065"/>
    <wne:acd wne:argValue="AgBoiDxoDlT0iw5m" wne:acdName="acd8" wne:fciIndexBasedOn="0065"/>
    <wne:acd wne:argValue="AQAAABwA" wne:acdName="acd9" wne:fciIndexBasedOn="0065"/>
    <wne:acd wne:argValue="AgBsUYdlOgBja4dlKAApf9uPKQA=" wne:acdName="acd10" wne:fciIndexBasedOn="0065"/>
    <wne:acd wne:argValue="AgBsUYdlOgBja4dl" wne:acdName="acd11"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1E2CC6"/>
    <w:multiLevelType w:val="multilevel"/>
    <w:tmpl w:val="211E2CC6"/>
    <w:lvl w:ilvl="0" w:tentative="0">
      <w:start w:val="1"/>
      <w:numFmt w:val="chineseCounting"/>
      <w:pStyle w:val="2"/>
      <w:suff w:val="space"/>
      <w:lvlText w:val="第%1节"/>
      <w:lvlJc w:val="left"/>
      <w:pPr>
        <w:ind w:left="4399" w:firstLine="0"/>
      </w:pPr>
      <w:rPr>
        <w:rFonts w:hint="eastAsia" w:ascii="黑体" w:hAnsi="黑体" w:eastAsia="黑体"/>
        <w:b w:val="0"/>
        <w:i w:val="0"/>
        <w:sz w:val="32"/>
      </w:rPr>
    </w:lvl>
    <w:lvl w:ilvl="1" w:tentative="0">
      <w:start w:val="1"/>
      <w:numFmt w:val="chineseCounting"/>
      <w:suff w:val="nothing"/>
      <w:lvlText w:val="%2、"/>
      <w:lvlJc w:val="left"/>
      <w:pPr>
        <w:ind w:left="4399" w:firstLine="0"/>
      </w:pPr>
      <w:rPr>
        <w:rFonts w:hint="default"/>
        <w:b w:val="0"/>
        <w:i w:val="0"/>
        <w:sz w:val="28"/>
      </w:rPr>
    </w:lvl>
    <w:lvl w:ilvl="2" w:tentative="0">
      <w:start w:val="1"/>
      <w:numFmt w:val="chineseCounting"/>
      <w:pStyle w:val="5"/>
      <w:suff w:val="nothing"/>
      <w:lvlText w:val="（%3）"/>
      <w:lvlJc w:val="left"/>
      <w:pPr>
        <w:ind w:left="4399" w:firstLine="0"/>
      </w:pPr>
      <w:rPr>
        <w:rFonts w:hint="default" w:ascii="Times New Roman" w:hAnsi="Times New Roman" w:cs="Times New Roman"/>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
      <w:suff w:val="nothing"/>
      <w:lvlText w:val="%4、"/>
      <w:lvlJc w:val="left"/>
      <w:pPr>
        <w:ind w:left="4399" w:firstLine="0"/>
      </w:pPr>
      <w:rPr>
        <w:rFonts w:hint="default" w:ascii="Times New Roman" w:hAnsi="Times New Roman" w:cs="Times New Roman"/>
        <w:b/>
        <w:i w:val="0"/>
        <w:sz w:val="24"/>
      </w:rPr>
    </w:lvl>
    <w:lvl w:ilvl="4" w:tentative="0">
      <w:start w:val="1"/>
      <w:numFmt w:val="decimal"/>
      <w:pStyle w:val="7"/>
      <w:suff w:val="nothing"/>
      <w:lvlText w:val="（%5）"/>
      <w:lvlJc w:val="left"/>
      <w:pPr>
        <w:ind w:left="4399"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5" w:tentative="0">
      <w:start w:val="1"/>
      <w:numFmt w:val="decimal"/>
      <w:pStyle w:val="8"/>
      <w:suff w:val="nothing"/>
      <w:lvlText w:val="%6）"/>
      <w:lvlJc w:val="left"/>
      <w:pPr>
        <w:ind w:left="4399" w:firstLine="0"/>
      </w:pPr>
      <w:rPr>
        <w:rFonts w:hint="default" w:ascii="Times New Roman" w:hAnsi="Times New Roman" w:cs="Times New Roman"/>
        <w:b w:val="0"/>
        <w:i w:val="0"/>
        <w:sz w:val="24"/>
        <w:u w:val="none"/>
      </w:rPr>
    </w:lvl>
    <w:lvl w:ilvl="6" w:tentative="0">
      <w:start w:val="1"/>
      <w:numFmt w:val="decimalEnclosedCircle"/>
      <w:pStyle w:val="9"/>
      <w:suff w:val="nothing"/>
      <w:lvlText w:val="%7"/>
      <w:lvlJc w:val="left"/>
      <w:pPr>
        <w:ind w:left="4399" w:firstLine="0"/>
      </w:pPr>
      <w:rPr>
        <w:rFonts w:hint="default" w:ascii="Times New Roman" w:hAnsi="Times New Roman" w:cs="Times New Roman"/>
        <w:b w:val="0"/>
        <w:i w:val="0"/>
        <w:sz w:val="24"/>
        <w:lang w:val="en-US"/>
      </w:rPr>
    </w:lvl>
    <w:lvl w:ilvl="7" w:tentative="0">
      <w:start w:val="1"/>
      <w:numFmt w:val="decimal"/>
      <w:lvlText w:val="%1.%2.%3.%4.%5.%6.%7.%8"/>
      <w:lvlJc w:val="left"/>
      <w:pPr>
        <w:ind w:left="8793" w:hanging="1418"/>
      </w:pPr>
      <w:rPr>
        <w:rFonts w:hint="eastAsia"/>
      </w:rPr>
    </w:lvl>
    <w:lvl w:ilvl="8" w:tentative="0">
      <w:start w:val="1"/>
      <w:numFmt w:val="decimal"/>
      <w:lvlText w:val="%1.%2.%3.%4.%5.%6.%7.%8.%9"/>
      <w:lvlJc w:val="left"/>
      <w:pPr>
        <w:ind w:left="950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dit="readOnly"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YzOWJjMDBlYzU2YmYzNWMwZmEyOGIyNWI4ZjUxMjIifQ=="/>
  </w:docVars>
  <w:rsids>
    <w:rsidRoot w:val="00934D41"/>
    <w:rsid w:val="00003434"/>
    <w:rsid w:val="000563AE"/>
    <w:rsid w:val="0008218F"/>
    <w:rsid w:val="00087737"/>
    <w:rsid w:val="000F3C57"/>
    <w:rsid w:val="001142E8"/>
    <w:rsid w:val="0017200F"/>
    <w:rsid w:val="002106E9"/>
    <w:rsid w:val="00221BF8"/>
    <w:rsid w:val="00233C5B"/>
    <w:rsid w:val="002370DB"/>
    <w:rsid w:val="00252422"/>
    <w:rsid w:val="00271846"/>
    <w:rsid w:val="002923EC"/>
    <w:rsid w:val="002933D9"/>
    <w:rsid w:val="00301862"/>
    <w:rsid w:val="0031037B"/>
    <w:rsid w:val="003114A9"/>
    <w:rsid w:val="00340763"/>
    <w:rsid w:val="00361E91"/>
    <w:rsid w:val="00363C52"/>
    <w:rsid w:val="003E2E84"/>
    <w:rsid w:val="004158A6"/>
    <w:rsid w:val="004A09A3"/>
    <w:rsid w:val="004B1074"/>
    <w:rsid w:val="004C76C7"/>
    <w:rsid w:val="004F22D3"/>
    <w:rsid w:val="005041A4"/>
    <w:rsid w:val="00554DC8"/>
    <w:rsid w:val="00556977"/>
    <w:rsid w:val="00582F57"/>
    <w:rsid w:val="00614719"/>
    <w:rsid w:val="00630214"/>
    <w:rsid w:val="00696A2D"/>
    <w:rsid w:val="006B6478"/>
    <w:rsid w:val="006E15DD"/>
    <w:rsid w:val="00734BE6"/>
    <w:rsid w:val="0076144B"/>
    <w:rsid w:val="007650DC"/>
    <w:rsid w:val="00797315"/>
    <w:rsid w:val="007E1548"/>
    <w:rsid w:val="007E1E96"/>
    <w:rsid w:val="007F3296"/>
    <w:rsid w:val="0088215C"/>
    <w:rsid w:val="008854CF"/>
    <w:rsid w:val="008D4424"/>
    <w:rsid w:val="008E3417"/>
    <w:rsid w:val="008E4294"/>
    <w:rsid w:val="00934D41"/>
    <w:rsid w:val="00947823"/>
    <w:rsid w:val="00951F2A"/>
    <w:rsid w:val="0096318F"/>
    <w:rsid w:val="009B3100"/>
    <w:rsid w:val="009C15E0"/>
    <w:rsid w:val="009D1834"/>
    <w:rsid w:val="009E33F5"/>
    <w:rsid w:val="00A0229E"/>
    <w:rsid w:val="00A10F3E"/>
    <w:rsid w:val="00A13394"/>
    <w:rsid w:val="00A21B70"/>
    <w:rsid w:val="00A3142C"/>
    <w:rsid w:val="00A33824"/>
    <w:rsid w:val="00A36504"/>
    <w:rsid w:val="00A36D55"/>
    <w:rsid w:val="00A730E8"/>
    <w:rsid w:val="00A87D14"/>
    <w:rsid w:val="00AC7233"/>
    <w:rsid w:val="00AD0821"/>
    <w:rsid w:val="00AF2045"/>
    <w:rsid w:val="00B16710"/>
    <w:rsid w:val="00B37AD8"/>
    <w:rsid w:val="00B45C73"/>
    <w:rsid w:val="00B52040"/>
    <w:rsid w:val="00BA65E3"/>
    <w:rsid w:val="00C03D9C"/>
    <w:rsid w:val="00C1198B"/>
    <w:rsid w:val="00C313FD"/>
    <w:rsid w:val="00C57075"/>
    <w:rsid w:val="00C97EBD"/>
    <w:rsid w:val="00CC565A"/>
    <w:rsid w:val="00D0340A"/>
    <w:rsid w:val="00D10552"/>
    <w:rsid w:val="00D12D0E"/>
    <w:rsid w:val="00D475A4"/>
    <w:rsid w:val="00D70DDD"/>
    <w:rsid w:val="00D96BA1"/>
    <w:rsid w:val="00DA0CEA"/>
    <w:rsid w:val="00DA2540"/>
    <w:rsid w:val="00DC5D00"/>
    <w:rsid w:val="00E206E6"/>
    <w:rsid w:val="00E3283D"/>
    <w:rsid w:val="00E80272"/>
    <w:rsid w:val="00EA14F1"/>
    <w:rsid w:val="00EE0117"/>
    <w:rsid w:val="00F03CE5"/>
    <w:rsid w:val="00F05EF2"/>
    <w:rsid w:val="00F1454F"/>
    <w:rsid w:val="00F22152"/>
    <w:rsid w:val="00FA36D7"/>
    <w:rsid w:val="00FD666B"/>
    <w:rsid w:val="00FD6CDE"/>
    <w:rsid w:val="00FE27C0"/>
    <w:rsid w:val="00FE3A01"/>
    <w:rsid w:val="0401729D"/>
    <w:rsid w:val="04F05E8E"/>
    <w:rsid w:val="13AB4D3F"/>
    <w:rsid w:val="1D1049CA"/>
    <w:rsid w:val="20D774D2"/>
    <w:rsid w:val="24E639F7"/>
    <w:rsid w:val="282C101B"/>
    <w:rsid w:val="31EB70AC"/>
    <w:rsid w:val="34AE083D"/>
    <w:rsid w:val="367E4976"/>
    <w:rsid w:val="3B5C2BFC"/>
    <w:rsid w:val="3DFA2BBE"/>
    <w:rsid w:val="40631D33"/>
    <w:rsid w:val="4C5948D2"/>
    <w:rsid w:val="69886973"/>
    <w:rsid w:val="6A7106C2"/>
    <w:rsid w:val="6D752DA1"/>
    <w:rsid w:val="6F980C2B"/>
    <w:rsid w:val="7012220E"/>
    <w:rsid w:val="707A37A2"/>
    <w:rsid w:val="71594D33"/>
    <w:rsid w:val="732A00BD"/>
    <w:rsid w:val="75C54845"/>
    <w:rsid w:val="7A0E1F38"/>
    <w:rsid w:val="7BDD4DC9"/>
    <w:rsid w:val="7CB2126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iPriority="2"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1"/>
      <w:lang w:val="en-US" w:eastAsia="zh-CN" w:bidi="ar-SA"/>
    </w:rPr>
  </w:style>
  <w:style w:type="paragraph" w:styleId="2">
    <w:name w:val="heading 1"/>
    <w:next w:val="3"/>
    <w:link w:val="23"/>
    <w:autoRedefine/>
    <w:qFormat/>
    <w:uiPriority w:val="1"/>
    <w:pPr>
      <w:keepNext/>
      <w:keepLines/>
      <w:pageBreakBefore/>
      <w:numPr>
        <w:ilvl w:val="0"/>
        <w:numId w:val="1"/>
      </w:numPr>
      <w:spacing w:before="50" w:beforeLines="50" w:after="50" w:afterLines="50" w:line="360" w:lineRule="auto"/>
      <w:jc w:val="center"/>
      <w:outlineLvl w:val="0"/>
    </w:pPr>
    <w:rPr>
      <w:rFonts w:ascii="Times New Roman" w:hAnsi="Times New Roman" w:eastAsia="黑体" w:cs="Times New Roman"/>
      <w:bCs/>
      <w:sz w:val="32"/>
      <w:szCs w:val="44"/>
      <w:lang w:val="en-US" w:eastAsia="zh-CN" w:bidi="ar-SA"/>
    </w:rPr>
  </w:style>
  <w:style w:type="paragraph" w:styleId="4">
    <w:name w:val="heading 2"/>
    <w:basedOn w:val="1"/>
    <w:next w:val="3"/>
    <w:link w:val="24"/>
    <w:autoRedefine/>
    <w:qFormat/>
    <w:uiPriority w:val="1"/>
    <w:pPr>
      <w:spacing w:beforeAutospacing="1" w:afterAutospacing="1"/>
      <w:jc w:val="left"/>
      <w:outlineLvl w:val="1"/>
    </w:pPr>
    <w:rPr>
      <w:rFonts w:hint="eastAsia" w:ascii="宋体" w:hAnsi="宋体" w:eastAsia="宋体" w:cs="Times New Roman"/>
      <w:b/>
      <w:bCs/>
      <w:kern w:val="0"/>
      <w:sz w:val="36"/>
      <w:szCs w:val="36"/>
    </w:rPr>
  </w:style>
  <w:style w:type="paragraph" w:styleId="5">
    <w:name w:val="heading 3"/>
    <w:next w:val="3"/>
    <w:link w:val="25"/>
    <w:autoRedefine/>
    <w:qFormat/>
    <w:uiPriority w:val="1"/>
    <w:pPr>
      <w:keepNext/>
      <w:keepLines/>
      <w:numPr>
        <w:ilvl w:val="2"/>
        <w:numId w:val="1"/>
      </w:numPr>
      <w:spacing w:before="50" w:beforeLines="50" w:afterLines="50" w:line="360" w:lineRule="auto"/>
      <w:jc w:val="both"/>
      <w:outlineLvl w:val="2"/>
    </w:pPr>
    <w:rPr>
      <w:rFonts w:ascii="Times New Roman" w:hAnsi="Times New Roman" w:eastAsia="黑体" w:cs="Times New Roman"/>
      <w:bCs/>
      <w:color w:val="000000"/>
      <w:sz w:val="24"/>
      <w:szCs w:val="24"/>
      <w:lang w:val="en-US" w:eastAsia="ar-SA" w:bidi="ar-SA"/>
    </w:rPr>
  </w:style>
  <w:style w:type="paragraph" w:styleId="6">
    <w:name w:val="heading 4"/>
    <w:next w:val="3"/>
    <w:link w:val="26"/>
    <w:autoRedefine/>
    <w:qFormat/>
    <w:uiPriority w:val="1"/>
    <w:pPr>
      <w:keepNext/>
      <w:keepLines/>
      <w:numPr>
        <w:ilvl w:val="3"/>
        <w:numId w:val="1"/>
      </w:numPr>
      <w:spacing w:before="50" w:beforeLines="50" w:after="50" w:afterLines="50" w:line="360" w:lineRule="auto"/>
      <w:jc w:val="both"/>
      <w:outlineLvl w:val="3"/>
    </w:pPr>
    <w:rPr>
      <w:rFonts w:ascii="Times New Roman" w:hAnsi="Times New Roman" w:eastAsia="宋体" w:cs="Times New Roman"/>
      <w:b/>
      <w:bCs/>
      <w:kern w:val="2"/>
      <w:sz w:val="24"/>
      <w:szCs w:val="28"/>
      <w:lang w:val="en-US" w:eastAsia="zh-CN" w:bidi="ar-SA"/>
    </w:rPr>
  </w:style>
  <w:style w:type="paragraph" w:styleId="7">
    <w:name w:val="heading 5"/>
    <w:next w:val="3"/>
    <w:link w:val="27"/>
    <w:autoRedefine/>
    <w:qFormat/>
    <w:uiPriority w:val="1"/>
    <w:pPr>
      <w:keepNext/>
      <w:keepLines/>
      <w:numPr>
        <w:ilvl w:val="4"/>
        <w:numId w:val="1"/>
      </w:numPr>
      <w:spacing w:before="50" w:beforeLines="50" w:after="50" w:afterLines="50" w:line="360" w:lineRule="auto"/>
      <w:ind w:firstLine="482"/>
      <w:outlineLvl w:val="4"/>
    </w:pPr>
    <w:rPr>
      <w:rFonts w:ascii="Times New Roman" w:hAnsi="Times New Roman" w:eastAsia="宋体" w:cs="Times New Roman"/>
      <w:bCs/>
      <w:kern w:val="2"/>
      <w:sz w:val="24"/>
      <w:szCs w:val="28"/>
      <w:lang w:val="en-US" w:eastAsia="zh-CN" w:bidi="ar-SA"/>
    </w:rPr>
  </w:style>
  <w:style w:type="paragraph" w:styleId="8">
    <w:name w:val="heading 6"/>
    <w:next w:val="3"/>
    <w:link w:val="28"/>
    <w:autoRedefine/>
    <w:qFormat/>
    <w:uiPriority w:val="1"/>
    <w:pPr>
      <w:numPr>
        <w:ilvl w:val="5"/>
        <w:numId w:val="1"/>
      </w:numPr>
      <w:spacing w:before="50" w:beforeLines="50" w:after="50" w:afterLines="50" w:line="360" w:lineRule="auto"/>
      <w:jc w:val="both"/>
      <w:outlineLvl w:val="5"/>
    </w:pPr>
    <w:rPr>
      <w:rFonts w:ascii="Times New Roman" w:hAnsi="Times New Roman" w:eastAsia="宋体" w:cs="Times New Roman"/>
      <w:bCs/>
      <w:kern w:val="2"/>
      <w:sz w:val="24"/>
      <w:szCs w:val="24"/>
      <w:lang w:val="en-US" w:eastAsia="zh-CN" w:bidi="ar-SA"/>
    </w:rPr>
  </w:style>
  <w:style w:type="paragraph" w:styleId="9">
    <w:name w:val="heading 7"/>
    <w:next w:val="3"/>
    <w:link w:val="29"/>
    <w:autoRedefine/>
    <w:unhideWhenUsed/>
    <w:qFormat/>
    <w:uiPriority w:val="2"/>
    <w:pPr>
      <w:keepNext/>
      <w:keepLines/>
      <w:numPr>
        <w:ilvl w:val="6"/>
        <w:numId w:val="1"/>
      </w:numPr>
      <w:spacing w:before="50" w:beforeLines="50" w:after="50" w:afterLines="50" w:line="360" w:lineRule="auto"/>
      <w:outlineLvl w:val="6"/>
    </w:pPr>
    <w:rPr>
      <w:rFonts w:ascii="Times New Roman" w:hAnsi="Times New Roman" w:eastAsia="宋体" w:cs="Times New Roman"/>
      <w:bCs/>
      <w:kern w:val="2"/>
      <w:sz w:val="24"/>
      <w:szCs w:val="24"/>
      <w:lang w:val="en-US" w:eastAsia="zh-CN" w:bidi="ar-SA"/>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3">
    <w:name w:val="Normal Indent"/>
    <w:link w:val="39"/>
    <w:autoRedefine/>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10">
    <w:name w:val="annotation text"/>
    <w:basedOn w:val="1"/>
    <w:link w:val="36"/>
    <w:autoRedefine/>
    <w:unhideWhenUsed/>
    <w:qFormat/>
    <w:uiPriority w:val="99"/>
    <w:pPr>
      <w:jc w:val="left"/>
    </w:pPr>
  </w:style>
  <w:style w:type="paragraph" w:styleId="11">
    <w:name w:val="toc 3"/>
    <w:basedOn w:val="1"/>
    <w:next w:val="1"/>
    <w:autoRedefine/>
    <w:unhideWhenUsed/>
    <w:qFormat/>
    <w:uiPriority w:val="39"/>
    <w:pPr>
      <w:ind w:left="840" w:leftChars="400"/>
    </w:pPr>
    <w:rPr>
      <w:rFonts w:ascii="Times New Roman" w:hAnsi="Times New Roman" w:eastAsia="黑体"/>
      <w:sz w:val="24"/>
    </w:rPr>
  </w:style>
  <w:style w:type="paragraph" w:styleId="12">
    <w:name w:val="footer"/>
    <w:basedOn w:val="1"/>
    <w:link w:val="35"/>
    <w:autoRedefine/>
    <w:unhideWhenUsed/>
    <w:qFormat/>
    <w:uiPriority w:val="99"/>
    <w:pPr>
      <w:tabs>
        <w:tab w:val="center" w:pos="4153"/>
        <w:tab w:val="right" w:pos="8306"/>
      </w:tabs>
      <w:snapToGrid w:val="0"/>
      <w:jc w:val="left"/>
    </w:pPr>
    <w:rPr>
      <w:sz w:val="18"/>
      <w:szCs w:val="18"/>
    </w:rPr>
  </w:style>
  <w:style w:type="paragraph" w:styleId="13">
    <w:name w:val="header"/>
    <w:basedOn w:val="1"/>
    <w:link w:val="34"/>
    <w:autoRedefine/>
    <w:unhideWhenUsed/>
    <w:qFormat/>
    <w:uiPriority w:val="99"/>
    <w:pPr>
      <w:tabs>
        <w:tab w:val="center" w:pos="4153"/>
        <w:tab w:val="right" w:pos="8306"/>
      </w:tabs>
      <w:snapToGrid w:val="0"/>
      <w:jc w:val="center"/>
    </w:pPr>
    <w:rPr>
      <w:sz w:val="18"/>
      <w:szCs w:val="18"/>
    </w:rPr>
  </w:style>
  <w:style w:type="paragraph" w:styleId="14">
    <w:name w:val="toc 1"/>
    <w:basedOn w:val="1"/>
    <w:next w:val="1"/>
    <w:autoRedefine/>
    <w:unhideWhenUsed/>
    <w:qFormat/>
    <w:uiPriority w:val="39"/>
    <w:rPr>
      <w:rFonts w:ascii="Times New Roman" w:hAnsi="Times New Roman" w:eastAsia="黑体"/>
      <w:sz w:val="24"/>
    </w:rPr>
  </w:style>
  <w:style w:type="paragraph" w:styleId="15">
    <w:name w:val="toc 2"/>
    <w:basedOn w:val="1"/>
    <w:next w:val="1"/>
    <w:autoRedefine/>
    <w:unhideWhenUsed/>
    <w:qFormat/>
    <w:uiPriority w:val="39"/>
    <w:pPr>
      <w:ind w:left="420" w:leftChars="200"/>
    </w:pPr>
    <w:rPr>
      <w:rFonts w:ascii="Times New Roman" w:hAnsi="Times New Roman" w:eastAsia="黑体"/>
      <w:sz w:val="24"/>
    </w:rPr>
  </w:style>
  <w:style w:type="paragraph" w:styleId="16">
    <w:name w:val="Normal (Web)"/>
    <w:basedOn w:val="1"/>
    <w:autoRedefine/>
    <w:unhideWhenUsed/>
    <w:qFormat/>
    <w:uiPriority w:val="99"/>
    <w:pPr>
      <w:widowControl/>
      <w:adjustRightInd w:val="0"/>
      <w:snapToGrid w:val="0"/>
      <w:spacing w:line="360" w:lineRule="auto"/>
      <w:ind w:firstLine="420"/>
      <w:jc w:val="left"/>
      <w:textAlignment w:val="baseline"/>
    </w:pPr>
    <w:rPr>
      <w:rFonts w:ascii="仿宋_GB2312" w:hAnsi="Times New Roman" w:eastAsia="仿宋_GB2312" w:cs="Times New Roman"/>
      <w:kern w:val="0"/>
      <w:sz w:val="28"/>
      <w:szCs w:val="28"/>
    </w:rPr>
  </w:style>
  <w:style w:type="paragraph" w:styleId="17">
    <w:name w:val="annotation subject"/>
    <w:basedOn w:val="10"/>
    <w:next w:val="10"/>
    <w:link w:val="37"/>
    <w:autoRedefine/>
    <w:semiHidden/>
    <w:unhideWhenUsed/>
    <w:qFormat/>
    <w:uiPriority w:val="99"/>
    <w:rPr>
      <w:b/>
      <w:bCs/>
    </w:rPr>
  </w:style>
  <w:style w:type="character" w:styleId="20">
    <w:name w:val="Strong"/>
    <w:basedOn w:val="19"/>
    <w:autoRedefine/>
    <w:qFormat/>
    <w:uiPriority w:val="22"/>
    <w:rPr>
      <w:b/>
    </w:rPr>
  </w:style>
  <w:style w:type="character" w:styleId="21">
    <w:name w:val="Hyperlink"/>
    <w:basedOn w:val="19"/>
    <w:autoRedefine/>
    <w:semiHidden/>
    <w:unhideWhenUsed/>
    <w:qFormat/>
    <w:uiPriority w:val="99"/>
    <w:rPr>
      <w:color w:val="0000FF"/>
      <w:u w:val="single"/>
    </w:rPr>
  </w:style>
  <w:style w:type="character" w:styleId="22">
    <w:name w:val="annotation reference"/>
    <w:basedOn w:val="19"/>
    <w:autoRedefine/>
    <w:semiHidden/>
    <w:unhideWhenUsed/>
    <w:qFormat/>
    <w:uiPriority w:val="99"/>
    <w:rPr>
      <w:sz w:val="21"/>
      <w:szCs w:val="21"/>
    </w:rPr>
  </w:style>
  <w:style w:type="character" w:customStyle="1" w:styleId="23">
    <w:name w:val="标题 1 字符"/>
    <w:basedOn w:val="19"/>
    <w:link w:val="2"/>
    <w:autoRedefine/>
    <w:qFormat/>
    <w:uiPriority w:val="1"/>
    <w:rPr>
      <w:rFonts w:ascii="Times New Roman" w:hAnsi="Times New Roman" w:eastAsia="黑体" w:cs="Times New Roman"/>
      <w:bCs/>
      <w:kern w:val="0"/>
      <w:sz w:val="32"/>
      <w:szCs w:val="44"/>
    </w:rPr>
  </w:style>
  <w:style w:type="character" w:customStyle="1" w:styleId="24">
    <w:name w:val="标题 2 字符"/>
    <w:basedOn w:val="19"/>
    <w:link w:val="4"/>
    <w:autoRedefine/>
    <w:qFormat/>
    <w:uiPriority w:val="1"/>
    <w:rPr>
      <w:rFonts w:ascii="Times New Roman" w:hAnsi="Times New Roman" w:eastAsia="黑体" w:cs="Times New Roman"/>
      <w:bCs/>
      <w:sz w:val="28"/>
      <w:szCs w:val="32"/>
    </w:rPr>
  </w:style>
  <w:style w:type="character" w:customStyle="1" w:styleId="25">
    <w:name w:val="标题 3 字符"/>
    <w:basedOn w:val="19"/>
    <w:link w:val="5"/>
    <w:autoRedefine/>
    <w:qFormat/>
    <w:uiPriority w:val="1"/>
    <w:rPr>
      <w:rFonts w:ascii="Times New Roman" w:hAnsi="Times New Roman" w:eastAsia="黑体" w:cs="Times New Roman"/>
      <w:bCs/>
      <w:color w:val="000000"/>
      <w:kern w:val="0"/>
      <w:sz w:val="24"/>
      <w:szCs w:val="24"/>
      <w:lang w:eastAsia="ar-SA"/>
    </w:rPr>
  </w:style>
  <w:style w:type="character" w:customStyle="1" w:styleId="26">
    <w:name w:val="标题 4 字符"/>
    <w:basedOn w:val="19"/>
    <w:link w:val="6"/>
    <w:autoRedefine/>
    <w:qFormat/>
    <w:uiPriority w:val="1"/>
    <w:rPr>
      <w:rFonts w:ascii="Times New Roman" w:hAnsi="Times New Roman" w:eastAsia="宋体" w:cs="Times New Roman"/>
      <w:b/>
      <w:bCs/>
      <w:sz w:val="24"/>
      <w:szCs w:val="28"/>
    </w:rPr>
  </w:style>
  <w:style w:type="character" w:customStyle="1" w:styleId="27">
    <w:name w:val="标题 5 字符"/>
    <w:basedOn w:val="19"/>
    <w:link w:val="7"/>
    <w:autoRedefine/>
    <w:qFormat/>
    <w:uiPriority w:val="1"/>
    <w:rPr>
      <w:rFonts w:ascii="Times New Roman" w:hAnsi="Times New Roman" w:eastAsia="宋体" w:cs="Times New Roman"/>
      <w:bCs/>
      <w:sz w:val="24"/>
      <w:szCs w:val="28"/>
    </w:rPr>
  </w:style>
  <w:style w:type="character" w:customStyle="1" w:styleId="28">
    <w:name w:val="标题 6 字符"/>
    <w:basedOn w:val="19"/>
    <w:link w:val="8"/>
    <w:autoRedefine/>
    <w:qFormat/>
    <w:uiPriority w:val="1"/>
    <w:rPr>
      <w:rFonts w:ascii="Times New Roman" w:hAnsi="Times New Roman" w:eastAsia="宋体" w:cs="Times New Roman"/>
      <w:bCs/>
      <w:sz w:val="24"/>
      <w:szCs w:val="24"/>
    </w:rPr>
  </w:style>
  <w:style w:type="character" w:customStyle="1" w:styleId="29">
    <w:name w:val="标题 7 字符"/>
    <w:basedOn w:val="19"/>
    <w:link w:val="9"/>
    <w:autoRedefine/>
    <w:qFormat/>
    <w:uiPriority w:val="2"/>
    <w:rPr>
      <w:rFonts w:ascii="Times New Roman" w:hAnsi="Times New Roman" w:eastAsia="宋体" w:cs="Times New Roman"/>
      <w:bCs/>
      <w:sz w:val="24"/>
      <w:szCs w:val="24"/>
    </w:rPr>
  </w:style>
  <w:style w:type="paragraph" w:customStyle="1" w:styleId="30">
    <w:name w:val="表格后说明"/>
    <w:next w:val="3"/>
    <w:autoRedefine/>
    <w:qFormat/>
    <w:uiPriority w:val="3"/>
    <w:pPr>
      <w:jc w:val="both"/>
    </w:pPr>
    <w:rPr>
      <w:rFonts w:ascii="Times New Roman" w:hAnsi="Times New Roman" w:eastAsia="宋体" w:cs="Times New Roman"/>
      <w:kern w:val="2"/>
      <w:sz w:val="21"/>
      <w:szCs w:val="24"/>
      <w:lang w:val="en-US" w:eastAsia="zh-CN" w:bidi="ar-SA"/>
    </w:rPr>
  </w:style>
  <w:style w:type="paragraph" w:customStyle="1" w:styleId="31">
    <w:name w:val="表格前单位"/>
    <w:next w:val="3"/>
    <w:autoRedefine/>
    <w:qFormat/>
    <w:uiPriority w:val="2"/>
    <w:pPr>
      <w:keepNext/>
      <w:jc w:val="right"/>
    </w:pPr>
    <w:rPr>
      <w:rFonts w:ascii="Times New Roman" w:hAnsi="Times New Roman" w:eastAsia="宋体" w:cs="Times New Roman"/>
      <w:kern w:val="2"/>
      <w:sz w:val="21"/>
      <w:szCs w:val="24"/>
      <w:lang w:val="en-US" w:eastAsia="zh-CN" w:bidi="ar-SA"/>
    </w:rPr>
  </w:style>
  <w:style w:type="table" w:customStyle="1" w:styleId="32">
    <w:name w:val="报告表格"/>
    <w:basedOn w:val="18"/>
    <w:autoRedefine/>
    <w:qFormat/>
    <w:uiPriority w:val="99"/>
    <w:rPr>
      <w:sz w:val="18"/>
    </w:rPr>
  </w:style>
  <w:style w:type="paragraph" w:customStyle="1" w:styleId="33">
    <w:name w:val="TOC 标题1"/>
    <w:basedOn w:val="2"/>
    <w:next w:val="1"/>
    <w:autoRedefine/>
    <w:unhideWhenUsed/>
    <w:qFormat/>
    <w:uiPriority w:val="39"/>
    <w:pPr>
      <w:pageBreakBefore w:val="0"/>
      <w:numPr>
        <w:numId w:val="0"/>
      </w:numPr>
      <w:snapToGrid w:val="0"/>
      <w:spacing w:before="240" w:beforeLines="0" w:after="0" w:afterLines="0" w:line="259" w:lineRule="auto"/>
      <w:outlineLvl w:val="9"/>
    </w:pPr>
    <w:rPr>
      <w:bCs w:val="0"/>
      <w:szCs w:val="32"/>
    </w:rPr>
  </w:style>
  <w:style w:type="character" w:customStyle="1" w:styleId="34">
    <w:name w:val="页眉 字符"/>
    <w:basedOn w:val="19"/>
    <w:link w:val="13"/>
    <w:autoRedefine/>
    <w:qFormat/>
    <w:uiPriority w:val="99"/>
    <w:rPr>
      <w:rFonts w:asciiTheme="minorHAnsi" w:hAnsiTheme="minorHAnsi" w:eastAsiaTheme="minorEastAsia" w:cstheme="minorBidi"/>
      <w:kern w:val="2"/>
      <w:sz w:val="18"/>
      <w:szCs w:val="18"/>
    </w:rPr>
  </w:style>
  <w:style w:type="character" w:customStyle="1" w:styleId="35">
    <w:name w:val="页脚 字符"/>
    <w:basedOn w:val="19"/>
    <w:link w:val="12"/>
    <w:autoRedefine/>
    <w:qFormat/>
    <w:uiPriority w:val="99"/>
    <w:rPr>
      <w:rFonts w:asciiTheme="minorHAnsi" w:hAnsiTheme="minorHAnsi" w:eastAsiaTheme="minorEastAsia" w:cstheme="minorBidi"/>
      <w:kern w:val="2"/>
      <w:sz w:val="18"/>
      <w:szCs w:val="18"/>
    </w:rPr>
  </w:style>
  <w:style w:type="character" w:customStyle="1" w:styleId="36">
    <w:name w:val="批注文字 字符"/>
    <w:basedOn w:val="19"/>
    <w:link w:val="10"/>
    <w:autoRedefine/>
    <w:qFormat/>
    <w:uiPriority w:val="99"/>
    <w:rPr>
      <w:rFonts w:asciiTheme="minorHAnsi" w:hAnsiTheme="minorHAnsi" w:eastAsiaTheme="minorEastAsia" w:cstheme="minorBidi"/>
      <w:kern w:val="2"/>
      <w:sz w:val="21"/>
      <w:szCs w:val="21"/>
    </w:rPr>
  </w:style>
  <w:style w:type="character" w:customStyle="1" w:styleId="37">
    <w:name w:val="批注主题 字符"/>
    <w:basedOn w:val="36"/>
    <w:link w:val="17"/>
    <w:autoRedefine/>
    <w:semiHidden/>
    <w:qFormat/>
    <w:uiPriority w:val="99"/>
    <w:rPr>
      <w:rFonts w:asciiTheme="minorHAnsi" w:hAnsiTheme="minorHAnsi" w:eastAsiaTheme="minorEastAsia" w:cstheme="minorBidi"/>
      <w:b/>
      <w:bCs/>
      <w:kern w:val="2"/>
      <w:sz w:val="21"/>
      <w:szCs w:val="21"/>
    </w:rPr>
  </w:style>
  <w:style w:type="paragraph" w:customStyle="1" w:styleId="38">
    <w:name w:val="修订1"/>
    <w:autoRedefine/>
    <w:hidden/>
    <w:unhideWhenUsed/>
    <w:qFormat/>
    <w:uiPriority w:val="99"/>
    <w:rPr>
      <w:rFonts w:asciiTheme="minorHAnsi" w:hAnsiTheme="minorHAnsi" w:eastAsiaTheme="minorEastAsia" w:cstheme="minorBidi"/>
      <w:kern w:val="2"/>
      <w:sz w:val="21"/>
      <w:szCs w:val="21"/>
      <w:lang w:val="en-US" w:eastAsia="zh-CN" w:bidi="ar-SA"/>
    </w:rPr>
  </w:style>
  <w:style w:type="character" w:customStyle="1" w:styleId="39">
    <w:name w:val="正文缩进 字符"/>
    <w:link w:val="3"/>
    <w:qFormat/>
    <w:uiPriority w:val="0"/>
    <w:rPr>
      <w:rFonts w:ascii="Times New Roman" w:hAnsi="Times New Roman" w:eastAsia="宋体" w:cs="Times New Roman"/>
      <w:kern w:val="2"/>
      <w:sz w:val="24"/>
      <w:szCs w:val="23"/>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microsoft.com/office/2006/relationships/keyMapCustomizations" Target="customizations.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UI/customUI14.xml><?xml version="1.0" encoding="utf-8"?>
<customUI xmlns="http://schemas.microsoft.com/office/2009/07/customui">
  <ribbon>
    <tabs>
      <tab id="myTab" label="IBD Tools" insertBeforeMso="TabHome">
        <group id="Personal" label="Ver20230731">
          <labelControl id="Label1" getLabel="getLabelName"/>
          <labelControl id="Label2" getLabel="getLabelDate"/>
          <button id="btnface" imageMso="HappyFace" size="large" onAction="HappyFaceRibbon"/>
        </group>
        <group id="GroupA" label="文字">
          <button id="A1" label="楷体加粗" image="Font1" onAction="BoldkaitiRibbon" screentip="将选中范围的字体设置为楷体加粗，常用于补充披露内容"/>
          <button id="A2" label="宋体罗马" image="Font2" onAction="SongtiTNR" screentip="将选中范围的字体设置为宋体+Times New Roman，常用于将补充披露内容调整回与正文一致"/>
          <button id="A3" label="智能粘贴" image="smartpaste" onAction="pasteastext" screentip="粘贴并适配当前位置的字体格式，常用于往表格中粘贴数字"/>
          <button id="A4" label="去除空格" image="blank" onAction="DelblankRibbon" screentip="删除选中范围内所有空格，常用于OCR文字和从excel复制之数字的清洗，不影响分段"/>
          <button id="A5" label="化零为整" image="deleteblank" onAction="Delblank2Ribbon" screentip="删除选中范围内所有空格、回车，常用于OCR文字和从excel复制之数字的清洗，会将所有段落合并在一起"/>
          <button id="A6" label="中文标点" image="comma" onAction="ToggleInterpunction" screentip="将英文标点转换为中文标点"/>
          <button id="A7" label="下个楷体" image="kaiti" onAction="findnextkaiti" screentip="跳转到下一处字体为楷体的内容"/>
          <button id="A8" label="下个数字" image="number01" onAction="findnextnumber" screentip="跳转到下一处未加千分位的数字"/>
          <button id="A9" label="下个表格" image="table" onAction="findnexttable" screentip="跳转到下一个表格"/>
          <button id="A10" label="一键标黄" image="yellow" onAction="HighlightRibbon" screentip="令人喜爱的一键标黄又回来了！"/>
        </group>
        <group id="GroupB" label="表格">
          <menu id="BM1" image="table" size="normal" label="单表美颜">
            <menuSeparator id="BM1sep" title="单独处理选中表格"/>
            <button id="BM11" label="表格美颜①" onAction="newtablestyleribbon"/>
            <button id="BM12" label="表格美颜②" onAction="newtablestyle2ribbon"/>
          </menu>
          <menu id="BM2" image="table" size="normal" label="多表美颜">
            <menuSeparator id="BM2sep" title="一键处理全文表格"/>
            <button id="BM21" label="全文表格美颜①" onAction="allnewtablestyle"/>
            <button id="BM22" label="全文表格美颜②" onAction="allnewtablestyle2"/>
            <button id="BM23" label="选中全文所有表格" onAction="selectalltables"/>
          </menu>
          <button id="B3" label="粘贴美表" image="pastetable" screentip="将复制的表格直接按照排版好的要求粘贴" onAction="pastenewtablestyle"/>
          <menu id="BM3" image="table" size="normal" label="表格设置">
            <menuSeparator id="BM3sep" title="表格设置"/>
            <button id="BM31" label="首行重复" image="repeatfirstline" screentip="表格首行重复，表格跨页时一定要用" onAction="firstlinerepeat"/>
            <button id="BM32" label="与下同页" image="keepwithnext" screentip="将选中的表格行设置为与下段同页，避免表格中的同一段跨页" onAction="keepwithnext"/>
          </menu>
          <button id="B6" label="单位万元" image="unit" screentip="在表格前添加“单位：万元”" onAction="unit10000"/>
          <button id="B7" label="表后说明" image="note" screentip="在表格后添加“注：”" onAction="explain"/>
          <button id="B8" label="粘贴链接" image="pastelink" screentip="将Excel中的特定单元格内容链接过来" onAction="pastelink"/>
          <button id="B10" label="更新链接" image="updatelink" screentip="选中链接后点击，可以更新链接内容" onAction="updatelink"/>
          <button id="B101" label="上方合计" image="add" screentip="计算表格中上方各数合计" onAction="sumabove"/>
        </group>
        <group id="GroupC" label="数字">
          <button id="C1" label="千位相隔" imageMso="CommaStyle" screentip="选择范围内的数字自动添加千分位" onAction="qianfen"/>
          <button id="C2" label="除以一万" image="div" screentip="选择范围内的数字自动除以一万，暂时实现不了除完自动加千分位，另外执行一下“千位相隔”吧" onAction="DivIvan"/>
          <button id="C3" label="自动加%" image="percent" screentip="给选择范围内的数字添加百分号" onAction="insertpercent"/>
          <menu id="CM1" image="number" size="normal" label="插入序号">
            <menuSeparator id="CM1sep" title="带圈序号"/>
            <button id="CM11" label="①" onAction="round1"/>
            <button id="CM12" label="②" onAction="round2"/>
            <button id="CM13" label="③" onAction="round3"/>
            <button id="CM14" label="④" onAction="round4"/>
            <button id="CM15" label="⑤" onAction="round5"/>
            <button id="CM16" label="⑥" onAction="round6"/>
            <button id="CM17" label="⑦" onAction="round7"/>
            <button id="CM18" label="⑧" onAction="round8"/>
            <button id="CM19" label="⑨" onAction="round9"/>
            <button id="CM110" label="⑩" onAction="round10"/>
            <button id="CM111" label="表格序号" onAction="表格加序号"/>
          </menu>
          <button id="C4" label="数字降序" image="number" screentip="选中表格中的若干行，按照第二列的数字从大到小排序" onAction="number321"/>
        </group>
        <group id="GroupE" label="排版">
          <menu id="EM1" image="style" size="normal" label="样式管理">
            <menuSeparator id="DM1sep" title="样式管理"/>
            <button id="EM11" label="重置为【招股书】样式" image="resetstyle" screentip="将样式设置为适合撰写申报文件的设置，注意，样式带有“自动更新功能”，进行补充披露时建议关闭“自动更新”" onAction="formatstyle"/>
            <button id="EM12" label="重置为【回复报告】样式" image="resetstyle" screentip="将样式设置为适合撰写回复报告的设置，注意，样式带有“自动更新功能”" onAction="formatfeedbackstyle"/>
            <button id="EM13" label="导入样式" image="import" screentip="直接从模板中导入招股说明书所用样式" onAction="importstyles"/>
            <button id="EM14" label="禁用样式更新" image="disupdate" screentip="禁用常用样式的自动更新属性" onAction="disablestyleupdate"/>
          </menu>
          <menu id="EM2" image="firstpage" size="normal" label="插入其他">
            <menuSeparator id="EM2sep" title="插入其他"/>
            <button id="EM21" label="招股说明书封面" image="firstpage" onAction="ProspectusFirstPage"/>
            <button id="EM22" label="小报告封面" image="firstpage" onAction="ReportFirstPage"/>
            <button id="EM23" label="回复报告模板" image="firstpage" onAction="insertfeedbackreport"/>
            <button id="EM24" label="报告目录" image="catalog" onAction="insertcatalog"/>
            <button id="EM25" label="插入横页" image="landscape" onAction="Insertlandscape"/>
            <button id="EM26" label="插入页码" image="page" onAction="addpagenumber"/>
            <button id="EM27" label="批量插入图片" image="landscape" onAction="insertpics"/>
          </menu>
          <menu id="EM3" image="onekeyclean" size="normal" label="批量操作">
            <menuSeparator id="EM3sep" title="批量操作"/>
            <button id="EM31" label="一键清洁" image="onekeyclean" screentip="一键接受所有修订并关闭修订模式、删除全文所有批注、消除所有文字底色、自动刷新目录" onAction="onekeyclean"/>
            <button id="EM32" label="粗楷还原" image="kaiti" screentip="一键将文中楷体加粗部分字体修改为宋体+Times New Roman" onAction="kaititosong"/>
            <button id="EM33" label="列表转文字" image="number" screentip="将自动列表转换为文字，大纲级别不变" onAction="convertlisttotext"/>
            <button id="EM34" label="逐一生成" imageMso="Paste" screentip="将需要邮件合并的文档逐一生成独立的文件，多用于生成询证函，生成的文件将保存在你选择的文件夹，文件名默认为Excel文件中第一列和第二列的组合，如有需要可修改" onAction="mymailmerge"/>
          </menu>
        </group>
        <group id="GroupF" label="批注">
          <button id="F1" label="添加批注" image="add" screentip="添加一个批注" onAction="addcomments"/>
          <button id="F2" label="删除批注" image="del" screentip="删除一个批注" onAction="delcomments"/>
        </group>
        <group id="GroupG" label="行列校验">
          <button id="G1" label="选行校验" keytip="R" imageMso="TableRowSelect" screentip="选中行求和减现有合计数校验是否为0" onAction="RowCheck"/>
          <button id="G2" label="选列校验" keytip="C" imageMso="TableColumnSelect" screentip="选中列求和减现有合计数校验是否为0" onAction="ColumnCheck"/>
          <button id="G3" label="一键取和" keytip="S" imageMso="AutoSum" screentip="选中单元格自动求和，并将和复制，再手动粘贴试试吧" onAction="getSum"/>
        </group>
        <group id="GroupI" label="帮助">
          <button id="I1" label="使用说明" imageMso="Help" size="normal" screentip="来看看怎么使用这个工具吧" onAction="Help"/>
          <button id="I2" label="更新插件" imageMso="Help" size="normal" screentip="下载最新版本插件" onAction="updatetool"/>
        </group>
      </tab>
    </tabs>
  </ribbon>
</customUI>
</file>

<file path=docProps/app.xml><?xml version="1.0" encoding="utf-8"?>
<Properties xmlns="http://schemas.openxmlformats.org/officeDocument/2006/extended-properties" xmlns:vt="http://schemas.openxmlformats.org/officeDocument/2006/docPropsVTypes">
  <Template>Normal</Template>
  <Company>China</Company>
  <Pages>13</Pages>
  <Words>4583</Words>
  <Characters>4891</Characters>
  <Lines>36</Lines>
  <Paragraphs>10</Paragraphs>
  <TotalTime>4</TotalTime>
  <ScaleCrop>false</ScaleCrop>
  <LinksUpToDate>false</LinksUpToDate>
  <CharactersWithSpaces>4933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2024-04-24T06:58:00Z</dcterms:created>
  <dc:creator>lenovo</dc:creator>
  <cp:lastModifiedBy>陈义亮</cp:lastModifiedBy>
  <dcterms:modified xsi:type="dcterms:W3CDTF">2025-01-17T06:51:53Z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70D508FEB9E645CE8D73C3604CE0EEB8_12</vt:lpwstr>
  </property>
  <property fmtid="{D5CDD505-2E9C-101B-9397-08002B2CF9AE}" pid="4" name="KSOTemplateDocerSaveRecord">
    <vt:lpwstr>eyJoZGlkIjoiNDMzNjIwZTFlYTRlYmRlZjI0MmU1NTRhNjEyZDkyMTYiLCJ1c2VySWQiOiI3MDY1NzA1MTEifQ==</vt:lpwstr>
  </property>
</Properties>
</file>